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166E70" w14:textId="19762534" w:rsidR="00C853AB" w:rsidRDefault="00B47FA3" w:rsidP="00B47FA3">
      <w:pPr>
        <w:pStyle w:val="Heading1"/>
      </w:pPr>
      <w:r>
        <w:t>S1. Supplementary information</w:t>
      </w:r>
    </w:p>
    <w:p w14:paraId="391730AA" w14:textId="1168A8A4" w:rsidR="00C853AB" w:rsidRDefault="00C853AB" w:rsidP="00C853AB">
      <w:r>
        <w:t xml:space="preserve">Supplementary figures are included to further explain models, methodology, and processing of the datasets. </w:t>
      </w:r>
    </w:p>
    <w:p w14:paraId="1984A88A" w14:textId="7DF47292" w:rsidR="00F04AAC" w:rsidRDefault="00C853AB" w:rsidP="00F04AAC">
      <w:pPr>
        <w:sectPr w:rsidR="00F04AAC" w:rsidSect="00F512A5">
          <w:footerReference w:type="default" r:id="rId11"/>
          <w:pgSz w:w="11907" w:h="13608"/>
          <w:pgMar w:top="567" w:right="936" w:bottom="1338" w:left="936" w:header="0" w:footer="737" w:gutter="0"/>
          <w:lnNumType w:countBy="5" w:distance="227" w:restart="continuous"/>
          <w:cols w:space="708"/>
          <w:docGrid w:linePitch="360"/>
        </w:sectPr>
      </w:pPr>
      <w:r>
        <w:t xml:space="preserve">The supplementary material is conveyed under the same </w:t>
      </w:r>
      <w:r w:rsidR="00EB5808">
        <w:t xml:space="preserve">copyright terms and </w:t>
      </w:r>
      <w:r>
        <w:t>licence as the manuscript</w:t>
      </w:r>
      <w:r w:rsidR="00F04AAC">
        <w:t xml:space="preserve"> (CC BY 4.0 International)</w:t>
      </w:r>
      <w:r w:rsidR="00EB5808">
        <w:t>.</w:t>
      </w:r>
    </w:p>
    <w:p w14:paraId="50BBC814" w14:textId="5A4DC0C3" w:rsidR="00B708D4" w:rsidRDefault="00B708D4" w:rsidP="00B708D4">
      <w:pPr>
        <w:pStyle w:val="Caption"/>
      </w:pPr>
      <w:r>
        <w:rPr>
          <w:noProof/>
        </w:rPr>
        <w:lastRenderedPageBreak/>
        <w:drawing>
          <wp:inline distT="0" distB="0" distL="0" distR="0" wp14:anchorId="09E4062E" wp14:editId="1C27A0B6">
            <wp:extent cx="7776630" cy="5114925"/>
            <wp:effectExtent l="0" t="0" r="0" b="0"/>
            <wp:docPr id="4" name="Graphic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ic 4"/>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7776630" cy="5114925"/>
                    </a:xfrm>
                    <a:prstGeom prst="rect">
                      <a:avLst/>
                    </a:prstGeom>
                  </pic:spPr>
                </pic:pic>
              </a:graphicData>
            </a:graphic>
          </wp:inline>
        </w:drawing>
      </w:r>
    </w:p>
    <w:p w14:paraId="528B5DBA" w14:textId="0883842C" w:rsidR="002C290A" w:rsidRDefault="00F835BD" w:rsidP="00EA0578">
      <w:pPr>
        <w:pStyle w:val="Caption"/>
        <w:jc w:val="left"/>
        <w:sectPr w:rsidR="002C290A" w:rsidSect="00F04AAC">
          <w:pgSz w:w="13608" w:h="11907" w:orient="landscape"/>
          <w:pgMar w:top="720" w:right="720" w:bottom="720" w:left="720" w:header="0" w:footer="737" w:gutter="0"/>
          <w:lnNumType w:countBy="5" w:distance="227" w:restart="continuous"/>
          <w:cols w:space="708"/>
          <w:docGrid w:linePitch="360"/>
        </w:sectPr>
      </w:pPr>
      <w:r>
        <w:t xml:space="preserve">Supplementary </w:t>
      </w:r>
      <w:r w:rsidR="00B47FA3">
        <w:t>Figure</w:t>
      </w:r>
      <w:r w:rsidR="00B708D4">
        <w:t xml:space="preserve"> </w:t>
      </w:r>
      <w:r w:rsidR="00B47FA3">
        <w:t>S</w:t>
      </w:r>
      <w:r w:rsidR="00B708D4">
        <w:t xml:space="preserve">1: ArcGIS Pro® Model Builder output for processing vector data for line and area data sources into the database. The first layer uses simple geometric processing to create a buffer zone around the existing delta polygons and clip the input layer to this area. The second layer repairs any geometrical errors. The third layer maps each of the input features to the parent delta polygon and writes element level attribute data. The fourth and final layer maps attributes and recalculates any units to the units used in the database. The model is accompanied by an interactive GUI with </w:t>
      </w:r>
      <w:proofErr w:type="spellStart"/>
      <w:r w:rsidR="00B708D4">
        <w:t>helptext</w:t>
      </w:r>
      <w:proofErr w:type="spellEnd"/>
      <w:r w:rsidR="00B708D4">
        <w:t xml:space="preserve"> which is stored in the metadata file.</w:t>
      </w:r>
    </w:p>
    <w:p w14:paraId="03F5FDA7" w14:textId="77777777" w:rsidR="002F58FE" w:rsidRPr="002F58FE" w:rsidRDefault="002F58FE" w:rsidP="002F58FE"/>
    <w:tbl>
      <w:tblPr>
        <w:tblStyle w:val="TableGrid"/>
        <w:tblW w:w="10485" w:type="dxa"/>
        <w:tblLook w:val="04A0" w:firstRow="1" w:lastRow="0" w:firstColumn="1" w:lastColumn="0" w:noHBand="0" w:noVBand="1"/>
      </w:tblPr>
      <w:tblGrid>
        <w:gridCol w:w="1535"/>
        <w:gridCol w:w="4221"/>
        <w:gridCol w:w="1251"/>
        <w:gridCol w:w="1400"/>
        <w:gridCol w:w="2078"/>
      </w:tblGrid>
      <w:tr w:rsidR="00700225" w14:paraId="45160E48" w14:textId="553A7B43" w:rsidTr="202543F3">
        <w:tc>
          <w:tcPr>
            <w:tcW w:w="1535" w:type="dxa"/>
          </w:tcPr>
          <w:p w14:paraId="406A1C7C" w14:textId="4C945B43" w:rsidR="00700225" w:rsidRDefault="00700225" w:rsidP="0028264A">
            <w:pPr>
              <w:rPr>
                <w:b/>
                <w:bCs/>
              </w:rPr>
            </w:pPr>
            <w:r>
              <w:rPr>
                <w:b/>
                <w:bCs/>
              </w:rPr>
              <w:t>Source Database</w:t>
            </w:r>
          </w:p>
        </w:tc>
        <w:tc>
          <w:tcPr>
            <w:tcW w:w="4221" w:type="dxa"/>
          </w:tcPr>
          <w:p w14:paraId="79A8356A" w14:textId="619DFF43" w:rsidR="00700225" w:rsidRPr="00F206F1" w:rsidRDefault="002D6BC2" w:rsidP="0028264A">
            <w:pPr>
              <w:rPr>
                <w:b/>
                <w:bCs/>
              </w:rPr>
            </w:pPr>
            <w:r>
              <w:rPr>
                <w:b/>
                <w:bCs/>
              </w:rPr>
              <w:t>Source Database Field Name</w:t>
            </w:r>
            <w:r>
              <w:rPr>
                <w:b/>
                <w:bCs/>
              </w:rPr>
              <w:br/>
              <w:t>(Synonym)</w:t>
            </w:r>
          </w:p>
        </w:tc>
        <w:tc>
          <w:tcPr>
            <w:tcW w:w="1251" w:type="dxa"/>
          </w:tcPr>
          <w:p w14:paraId="24185E90" w14:textId="7606D743" w:rsidR="00700225" w:rsidRDefault="00700225" w:rsidP="0028264A">
            <w:pPr>
              <w:rPr>
                <w:b/>
                <w:bCs/>
              </w:rPr>
            </w:pPr>
            <w:r>
              <w:rPr>
                <w:b/>
                <w:bCs/>
              </w:rPr>
              <w:t>Unit of measure (Source)</w:t>
            </w:r>
          </w:p>
        </w:tc>
        <w:tc>
          <w:tcPr>
            <w:tcW w:w="1400" w:type="dxa"/>
          </w:tcPr>
          <w:p w14:paraId="48EC623A" w14:textId="54489A2F" w:rsidR="00700225" w:rsidRDefault="00700225" w:rsidP="0028264A">
            <w:pPr>
              <w:rPr>
                <w:b/>
                <w:bCs/>
              </w:rPr>
            </w:pPr>
            <w:r>
              <w:rPr>
                <w:b/>
                <w:bCs/>
              </w:rPr>
              <w:t>Unit of measure (Layer)</w:t>
            </w:r>
            <w:r w:rsidR="007636F2" w:rsidRPr="007636F2">
              <w:rPr>
                <w:b/>
                <w:bCs/>
                <w:vertAlign w:val="superscript"/>
              </w:rPr>
              <w:t>1</w:t>
            </w:r>
          </w:p>
        </w:tc>
        <w:tc>
          <w:tcPr>
            <w:tcW w:w="2078" w:type="dxa"/>
          </w:tcPr>
          <w:p w14:paraId="0AFA3425" w14:textId="77777777" w:rsidR="00390017" w:rsidRDefault="00700225" w:rsidP="0028264A">
            <w:pPr>
              <w:rPr>
                <w:b/>
                <w:bCs/>
              </w:rPr>
            </w:pPr>
            <w:r>
              <w:rPr>
                <w:b/>
                <w:bCs/>
              </w:rPr>
              <w:t>Master database field</w:t>
            </w:r>
          </w:p>
          <w:p w14:paraId="6B11D2D4" w14:textId="5CAF832F" w:rsidR="00700225" w:rsidRDefault="00390017" w:rsidP="0028264A">
            <w:pPr>
              <w:rPr>
                <w:b/>
                <w:bCs/>
              </w:rPr>
            </w:pPr>
            <w:r>
              <w:rPr>
                <w:b/>
                <w:bCs/>
              </w:rPr>
              <w:t>(T</w:t>
            </w:r>
            <w:r w:rsidR="00700225">
              <w:rPr>
                <w:b/>
                <w:bCs/>
              </w:rPr>
              <w:t>erm</w:t>
            </w:r>
            <w:r>
              <w:rPr>
                <w:b/>
                <w:bCs/>
              </w:rPr>
              <w:t>)</w:t>
            </w:r>
            <w:r w:rsidR="007636F2" w:rsidRPr="007636F2">
              <w:rPr>
                <w:b/>
                <w:bCs/>
                <w:vertAlign w:val="superscript"/>
              </w:rPr>
              <w:t>3</w:t>
            </w:r>
          </w:p>
        </w:tc>
      </w:tr>
      <w:tr w:rsidR="00FE169B" w:rsidRPr="00FC0961" w14:paraId="3188EE0E" w14:textId="771E42A6" w:rsidTr="202543F3">
        <w:tc>
          <w:tcPr>
            <w:tcW w:w="1535" w:type="dxa"/>
            <w:vMerge w:val="restart"/>
            <w:vAlign w:val="center"/>
          </w:tcPr>
          <w:p w14:paraId="32190119" w14:textId="5099D665" w:rsidR="00FE169B" w:rsidRDefault="00FE169B" w:rsidP="00FE169B">
            <w:pPr>
              <w:jc w:val="center"/>
            </w:pPr>
            <w:r>
              <w:t>US Army Corps of Engineers National Levee Database</w:t>
            </w:r>
          </w:p>
        </w:tc>
        <w:tc>
          <w:tcPr>
            <w:tcW w:w="4221" w:type="dxa"/>
            <w:vAlign w:val="center"/>
          </w:tcPr>
          <w:p w14:paraId="6CB687E9" w14:textId="3669C878" w:rsidR="00FE169B" w:rsidRPr="00DE115C" w:rsidRDefault="00FE169B" w:rsidP="00B6382B">
            <w:pPr>
              <w:jc w:val="left"/>
            </w:pPr>
            <w:r>
              <w:t>FLOOD_SOURCE</w:t>
            </w:r>
          </w:p>
        </w:tc>
        <w:tc>
          <w:tcPr>
            <w:tcW w:w="1251" w:type="dxa"/>
            <w:vAlign w:val="center"/>
          </w:tcPr>
          <w:p w14:paraId="5ED550FD" w14:textId="72584042" w:rsidR="00FE169B" w:rsidRDefault="00FE169B" w:rsidP="00B6382B">
            <w:pPr>
              <w:jc w:val="left"/>
            </w:pPr>
            <w:r>
              <w:t>-</w:t>
            </w:r>
          </w:p>
        </w:tc>
        <w:tc>
          <w:tcPr>
            <w:tcW w:w="1400" w:type="dxa"/>
            <w:vAlign w:val="center"/>
          </w:tcPr>
          <w:p w14:paraId="1251FCFC" w14:textId="5282E72E" w:rsidR="00FE169B" w:rsidRDefault="00FE169B" w:rsidP="00B6382B">
            <w:pPr>
              <w:jc w:val="left"/>
            </w:pPr>
            <w:r>
              <w:t>-</w:t>
            </w:r>
          </w:p>
        </w:tc>
        <w:tc>
          <w:tcPr>
            <w:tcW w:w="2078" w:type="dxa"/>
            <w:vAlign w:val="center"/>
          </w:tcPr>
          <w:p w14:paraId="0311C179" w14:textId="0F111161" w:rsidR="00FE169B" w:rsidRDefault="00FE169B" w:rsidP="00B6382B">
            <w:pPr>
              <w:jc w:val="left"/>
            </w:pPr>
            <w:r>
              <w:t>NAME</w:t>
            </w:r>
          </w:p>
        </w:tc>
      </w:tr>
      <w:tr w:rsidR="00FE169B" w:rsidRPr="00FC0961" w14:paraId="0ED0EC24" w14:textId="77777777" w:rsidTr="202543F3">
        <w:tc>
          <w:tcPr>
            <w:tcW w:w="1535" w:type="dxa"/>
            <w:vMerge/>
          </w:tcPr>
          <w:p w14:paraId="074EAD78" w14:textId="77777777" w:rsidR="00FE169B" w:rsidRDefault="00FE169B" w:rsidP="0028264A"/>
        </w:tc>
        <w:tc>
          <w:tcPr>
            <w:tcW w:w="4221" w:type="dxa"/>
            <w:vAlign w:val="center"/>
          </w:tcPr>
          <w:p w14:paraId="70617BDB" w14:textId="1167CE85" w:rsidR="00FE169B" w:rsidRDefault="00FE169B" w:rsidP="00B6382B">
            <w:pPr>
              <w:jc w:val="left"/>
            </w:pPr>
            <w:r>
              <w:t xml:space="preserve">FLOODWAAL_ID </w:t>
            </w:r>
            <w:r w:rsidRPr="001E475B">
              <w:rPr>
                <w:b/>
                <w:bCs/>
              </w:rPr>
              <w:t>OR</w:t>
            </w:r>
            <w:r>
              <w:t xml:space="preserve"> LEVEE_ID</w:t>
            </w:r>
          </w:p>
        </w:tc>
        <w:tc>
          <w:tcPr>
            <w:tcW w:w="1251" w:type="dxa"/>
            <w:vAlign w:val="center"/>
          </w:tcPr>
          <w:p w14:paraId="66D9614A" w14:textId="67A3A4CB" w:rsidR="00FE169B" w:rsidRDefault="00FE169B" w:rsidP="00B6382B">
            <w:pPr>
              <w:jc w:val="left"/>
            </w:pPr>
            <w:r>
              <w:t>-</w:t>
            </w:r>
          </w:p>
        </w:tc>
        <w:tc>
          <w:tcPr>
            <w:tcW w:w="1400" w:type="dxa"/>
            <w:vAlign w:val="center"/>
          </w:tcPr>
          <w:p w14:paraId="3C7640E7" w14:textId="0BF5FAEF" w:rsidR="00FE169B" w:rsidRDefault="00FE169B" w:rsidP="00B6382B">
            <w:pPr>
              <w:jc w:val="left"/>
            </w:pPr>
            <w:r>
              <w:t>-</w:t>
            </w:r>
          </w:p>
        </w:tc>
        <w:tc>
          <w:tcPr>
            <w:tcW w:w="2078" w:type="dxa"/>
            <w:vAlign w:val="center"/>
          </w:tcPr>
          <w:p w14:paraId="1FA4C2C6" w14:textId="6106069C" w:rsidR="00FE169B" w:rsidRDefault="00FE169B" w:rsidP="00B6382B">
            <w:pPr>
              <w:jc w:val="left"/>
            </w:pPr>
            <w:r>
              <w:t>REFERENCE</w:t>
            </w:r>
          </w:p>
        </w:tc>
      </w:tr>
      <w:tr w:rsidR="00FE169B" w:rsidRPr="00FC0961" w14:paraId="0A65F3A4" w14:textId="77777777" w:rsidTr="202543F3">
        <w:tc>
          <w:tcPr>
            <w:tcW w:w="1535" w:type="dxa"/>
            <w:vMerge/>
          </w:tcPr>
          <w:p w14:paraId="7C7A7364" w14:textId="77777777" w:rsidR="00FE169B" w:rsidRDefault="00FE169B" w:rsidP="0028264A"/>
        </w:tc>
        <w:tc>
          <w:tcPr>
            <w:tcW w:w="4221" w:type="dxa"/>
            <w:vAlign w:val="center"/>
          </w:tcPr>
          <w:p w14:paraId="00A9C688" w14:textId="2B5745CC" w:rsidR="00FE169B" w:rsidRDefault="00FE169B" w:rsidP="00B6382B">
            <w:pPr>
              <w:jc w:val="left"/>
            </w:pPr>
            <w:r>
              <w:t>LENGTH_METERS</w:t>
            </w:r>
          </w:p>
        </w:tc>
        <w:tc>
          <w:tcPr>
            <w:tcW w:w="1251" w:type="dxa"/>
            <w:vAlign w:val="center"/>
          </w:tcPr>
          <w:p w14:paraId="0C3204FC" w14:textId="31FB2A68" w:rsidR="00FE169B" w:rsidRDefault="00FE169B" w:rsidP="00B6382B">
            <w:pPr>
              <w:jc w:val="left"/>
            </w:pPr>
            <w:r>
              <w:t>Metres</w:t>
            </w:r>
          </w:p>
        </w:tc>
        <w:tc>
          <w:tcPr>
            <w:tcW w:w="1400" w:type="dxa"/>
            <w:vAlign w:val="center"/>
          </w:tcPr>
          <w:p w14:paraId="75F5E627" w14:textId="7CB27281" w:rsidR="00FE169B" w:rsidRDefault="00FE169B" w:rsidP="00B6382B">
            <w:pPr>
              <w:jc w:val="left"/>
            </w:pPr>
            <w:r>
              <w:t>Metres</w:t>
            </w:r>
          </w:p>
        </w:tc>
        <w:tc>
          <w:tcPr>
            <w:tcW w:w="2078" w:type="dxa"/>
            <w:vAlign w:val="center"/>
          </w:tcPr>
          <w:p w14:paraId="758B4AC2" w14:textId="69A0E204" w:rsidR="00FE169B" w:rsidRDefault="00FE169B" w:rsidP="00B6382B">
            <w:pPr>
              <w:jc w:val="left"/>
            </w:pPr>
            <w:proofErr w:type="spellStart"/>
            <w:r>
              <w:t>DefenceLength</w:t>
            </w:r>
            <w:proofErr w:type="spellEnd"/>
          </w:p>
        </w:tc>
      </w:tr>
      <w:tr w:rsidR="00FE169B" w:rsidRPr="000F24AD" w14:paraId="330C65CB" w14:textId="7BB89727" w:rsidTr="202543F3">
        <w:tc>
          <w:tcPr>
            <w:tcW w:w="1535" w:type="dxa"/>
            <w:vMerge/>
          </w:tcPr>
          <w:p w14:paraId="08C4F214" w14:textId="77777777" w:rsidR="00FE169B" w:rsidRDefault="00FE169B" w:rsidP="0028264A"/>
        </w:tc>
        <w:tc>
          <w:tcPr>
            <w:tcW w:w="4221" w:type="dxa"/>
            <w:vAlign w:val="center"/>
          </w:tcPr>
          <w:p w14:paraId="352DA47F" w14:textId="2685B7AB" w:rsidR="00FE169B" w:rsidRPr="00CB0434" w:rsidRDefault="00FE169B" w:rsidP="00B6382B">
            <w:pPr>
              <w:jc w:val="left"/>
              <w:rPr>
                <w:lang w:val="nl-NL"/>
              </w:rPr>
            </w:pPr>
            <w:r>
              <w:rPr>
                <w:lang w:val="nl-NL"/>
              </w:rPr>
              <w:t>WALL_HEIGHT</w:t>
            </w:r>
          </w:p>
        </w:tc>
        <w:tc>
          <w:tcPr>
            <w:tcW w:w="1251" w:type="dxa"/>
            <w:vAlign w:val="center"/>
          </w:tcPr>
          <w:p w14:paraId="415698AC" w14:textId="3C31B854" w:rsidR="00FE169B" w:rsidRDefault="00FE169B" w:rsidP="00B6382B">
            <w:pPr>
              <w:jc w:val="left"/>
            </w:pPr>
            <w:r>
              <w:t>Metres</w:t>
            </w:r>
          </w:p>
        </w:tc>
        <w:tc>
          <w:tcPr>
            <w:tcW w:w="1400" w:type="dxa"/>
            <w:vAlign w:val="center"/>
          </w:tcPr>
          <w:p w14:paraId="35840C02" w14:textId="4F1257B7" w:rsidR="00FE169B" w:rsidRDefault="00FE169B" w:rsidP="00B6382B">
            <w:pPr>
              <w:jc w:val="left"/>
            </w:pPr>
            <w:r>
              <w:t>Metres</w:t>
            </w:r>
          </w:p>
        </w:tc>
        <w:tc>
          <w:tcPr>
            <w:tcW w:w="2078" w:type="dxa"/>
            <w:vAlign w:val="center"/>
          </w:tcPr>
          <w:p w14:paraId="43A44EEC" w14:textId="05855162" w:rsidR="00FE169B" w:rsidRDefault="00FE169B" w:rsidP="00B6382B">
            <w:pPr>
              <w:jc w:val="left"/>
            </w:pPr>
            <w:proofErr w:type="spellStart"/>
            <w:r>
              <w:t>DefenceHeight</w:t>
            </w:r>
            <w:proofErr w:type="spellEnd"/>
          </w:p>
        </w:tc>
      </w:tr>
      <w:tr w:rsidR="00FE169B" w:rsidRPr="000F24AD" w14:paraId="3A84DC1E" w14:textId="068552EE" w:rsidTr="202543F3">
        <w:tc>
          <w:tcPr>
            <w:tcW w:w="1535" w:type="dxa"/>
            <w:vMerge/>
          </w:tcPr>
          <w:p w14:paraId="6F5F533F" w14:textId="77777777" w:rsidR="00FE169B" w:rsidRDefault="00FE169B" w:rsidP="0028264A"/>
        </w:tc>
        <w:tc>
          <w:tcPr>
            <w:tcW w:w="4221" w:type="dxa"/>
            <w:vAlign w:val="center"/>
          </w:tcPr>
          <w:p w14:paraId="16FB1C99" w14:textId="50F4F2BE" w:rsidR="00FE169B" w:rsidRPr="000F24AD" w:rsidRDefault="00FE169B" w:rsidP="00B6382B">
            <w:pPr>
              <w:jc w:val="left"/>
            </w:pPr>
            <w:r>
              <w:t xml:space="preserve">WALL_WIDTH </w:t>
            </w:r>
            <w:r>
              <w:rPr>
                <w:b/>
                <w:bCs/>
              </w:rPr>
              <w:t>OR</w:t>
            </w:r>
            <w:r>
              <w:t xml:space="preserve"> CREST_WIDTH </w:t>
            </w:r>
          </w:p>
        </w:tc>
        <w:tc>
          <w:tcPr>
            <w:tcW w:w="1251" w:type="dxa"/>
            <w:vAlign w:val="center"/>
          </w:tcPr>
          <w:p w14:paraId="6759833B" w14:textId="2C38AA49" w:rsidR="00FE169B" w:rsidRPr="000F24AD" w:rsidRDefault="00FE169B" w:rsidP="00B6382B">
            <w:pPr>
              <w:jc w:val="left"/>
            </w:pPr>
            <w:r>
              <w:t>US Feet</w:t>
            </w:r>
          </w:p>
        </w:tc>
        <w:tc>
          <w:tcPr>
            <w:tcW w:w="1400" w:type="dxa"/>
            <w:vAlign w:val="center"/>
          </w:tcPr>
          <w:p w14:paraId="299A5646" w14:textId="3CC2A1E7" w:rsidR="00FE169B" w:rsidRDefault="00FE169B" w:rsidP="00B6382B">
            <w:pPr>
              <w:jc w:val="left"/>
            </w:pPr>
            <w:r>
              <w:t>Metres</w:t>
            </w:r>
          </w:p>
        </w:tc>
        <w:tc>
          <w:tcPr>
            <w:tcW w:w="2078" w:type="dxa"/>
            <w:vAlign w:val="center"/>
          </w:tcPr>
          <w:p w14:paraId="49A3CBA0" w14:textId="1DA5F40C" w:rsidR="00FE169B" w:rsidRDefault="00FE169B" w:rsidP="00B6382B">
            <w:pPr>
              <w:jc w:val="left"/>
            </w:pPr>
            <w:proofErr w:type="spellStart"/>
            <w:r>
              <w:t>DefenceWidth</w:t>
            </w:r>
            <w:proofErr w:type="spellEnd"/>
          </w:p>
        </w:tc>
      </w:tr>
      <w:tr w:rsidR="00FE169B" w:rsidRPr="000F24AD" w14:paraId="0940EDA7" w14:textId="58E45FAC" w:rsidTr="202543F3">
        <w:tc>
          <w:tcPr>
            <w:tcW w:w="1535" w:type="dxa"/>
            <w:vMerge/>
          </w:tcPr>
          <w:p w14:paraId="04B4C1B4" w14:textId="77777777" w:rsidR="00FE169B" w:rsidRDefault="00FE169B" w:rsidP="0028264A"/>
        </w:tc>
        <w:tc>
          <w:tcPr>
            <w:tcW w:w="4221" w:type="dxa"/>
            <w:vAlign w:val="center"/>
          </w:tcPr>
          <w:p w14:paraId="31F7C4AD" w14:textId="6AB30916" w:rsidR="00FE169B" w:rsidRPr="000F24AD" w:rsidRDefault="00FE169B" w:rsidP="00B6382B">
            <w:pPr>
              <w:jc w:val="left"/>
            </w:pPr>
            <w:r>
              <w:t>FOUNDATION_WIDTH</w:t>
            </w:r>
          </w:p>
        </w:tc>
        <w:tc>
          <w:tcPr>
            <w:tcW w:w="1251" w:type="dxa"/>
            <w:vAlign w:val="center"/>
          </w:tcPr>
          <w:p w14:paraId="53F85148" w14:textId="7EE1E692" w:rsidR="00FE169B" w:rsidRPr="000F24AD" w:rsidRDefault="00FE169B" w:rsidP="00B6382B">
            <w:pPr>
              <w:jc w:val="left"/>
            </w:pPr>
            <w:r>
              <w:t>US Feet</w:t>
            </w:r>
          </w:p>
        </w:tc>
        <w:tc>
          <w:tcPr>
            <w:tcW w:w="1400" w:type="dxa"/>
            <w:vAlign w:val="center"/>
          </w:tcPr>
          <w:p w14:paraId="7BBDDD48" w14:textId="383DEAF9" w:rsidR="00FE169B" w:rsidRDefault="00FE169B" w:rsidP="00B6382B">
            <w:pPr>
              <w:jc w:val="left"/>
            </w:pPr>
            <w:r>
              <w:t>Metres</w:t>
            </w:r>
          </w:p>
        </w:tc>
        <w:tc>
          <w:tcPr>
            <w:tcW w:w="2078" w:type="dxa"/>
            <w:vAlign w:val="center"/>
          </w:tcPr>
          <w:p w14:paraId="1967BEFB" w14:textId="02903F6A" w:rsidR="00FE169B" w:rsidRDefault="00FE169B" w:rsidP="00B6382B">
            <w:pPr>
              <w:jc w:val="left"/>
            </w:pPr>
            <w:proofErr w:type="spellStart"/>
            <w:r>
              <w:t>FoundationWidth</w:t>
            </w:r>
            <w:proofErr w:type="spellEnd"/>
          </w:p>
        </w:tc>
      </w:tr>
      <w:tr w:rsidR="00FE169B" w:rsidRPr="000F24AD" w14:paraId="2A186976" w14:textId="0F801568" w:rsidTr="202543F3">
        <w:tc>
          <w:tcPr>
            <w:tcW w:w="1535" w:type="dxa"/>
            <w:vMerge/>
          </w:tcPr>
          <w:p w14:paraId="0ACAADFE" w14:textId="77777777" w:rsidR="00FE169B" w:rsidRDefault="00FE169B" w:rsidP="0028264A"/>
        </w:tc>
        <w:tc>
          <w:tcPr>
            <w:tcW w:w="4221" w:type="dxa"/>
            <w:vAlign w:val="center"/>
          </w:tcPr>
          <w:p w14:paraId="338D3A94" w14:textId="060B4A10" w:rsidR="00FE169B" w:rsidRDefault="00FE169B" w:rsidP="00B6382B">
            <w:pPr>
              <w:jc w:val="left"/>
            </w:pPr>
            <w:r>
              <w:t>PRIMARY_MATERIAL</w:t>
            </w:r>
          </w:p>
        </w:tc>
        <w:tc>
          <w:tcPr>
            <w:tcW w:w="1251" w:type="dxa"/>
            <w:vAlign w:val="center"/>
          </w:tcPr>
          <w:p w14:paraId="4C0D0227" w14:textId="2FCB6A44" w:rsidR="00FE169B" w:rsidRDefault="00FE169B" w:rsidP="00B6382B">
            <w:pPr>
              <w:jc w:val="left"/>
            </w:pPr>
            <w:r>
              <w:t>-</w:t>
            </w:r>
          </w:p>
        </w:tc>
        <w:tc>
          <w:tcPr>
            <w:tcW w:w="1400" w:type="dxa"/>
            <w:vAlign w:val="center"/>
          </w:tcPr>
          <w:p w14:paraId="4E7D0369" w14:textId="3A6C2F38" w:rsidR="00FE169B" w:rsidRDefault="00FE169B" w:rsidP="00B6382B">
            <w:pPr>
              <w:jc w:val="left"/>
            </w:pPr>
            <w:r>
              <w:t>-</w:t>
            </w:r>
          </w:p>
        </w:tc>
        <w:tc>
          <w:tcPr>
            <w:tcW w:w="2078" w:type="dxa"/>
            <w:vAlign w:val="center"/>
          </w:tcPr>
          <w:p w14:paraId="161EF8FA" w14:textId="72DD6AD2" w:rsidR="00FE169B" w:rsidRDefault="00FE169B" w:rsidP="00B6382B">
            <w:pPr>
              <w:jc w:val="left"/>
            </w:pPr>
            <w:r>
              <w:t>Construction</w:t>
            </w:r>
          </w:p>
        </w:tc>
      </w:tr>
      <w:tr w:rsidR="00FE169B" w:rsidRPr="00721D73" w14:paraId="4BCCC709" w14:textId="61FBB8D3" w:rsidTr="202543F3">
        <w:tc>
          <w:tcPr>
            <w:tcW w:w="1535" w:type="dxa"/>
            <w:vMerge/>
          </w:tcPr>
          <w:p w14:paraId="24A6481C" w14:textId="77777777" w:rsidR="00FE169B" w:rsidRDefault="00FE169B" w:rsidP="0028264A"/>
        </w:tc>
        <w:tc>
          <w:tcPr>
            <w:tcW w:w="4221" w:type="dxa"/>
            <w:vAlign w:val="center"/>
          </w:tcPr>
          <w:p w14:paraId="2361EFF8" w14:textId="031FA5C3" w:rsidR="00FE169B" w:rsidRPr="00792D1D" w:rsidRDefault="00FE169B" w:rsidP="00B6382B">
            <w:pPr>
              <w:jc w:val="left"/>
            </w:pPr>
            <w:r>
              <w:t>WALLTYPE, LEVEE_TYPE</w:t>
            </w:r>
          </w:p>
        </w:tc>
        <w:tc>
          <w:tcPr>
            <w:tcW w:w="1251" w:type="dxa"/>
            <w:vAlign w:val="center"/>
          </w:tcPr>
          <w:p w14:paraId="7F3FC09A" w14:textId="058DBC02" w:rsidR="00FE169B" w:rsidRPr="00721D73" w:rsidRDefault="00FE169B" w:rsidP="00B6382B">
            <w:pPr>
              <w:jc w:val="left"/>
              <w:rPr>
                <w:lang w:val="nl-NL"/>
              </w:rPr>
            </w:pPr>
            <w:r>
              <w:rPr>
                <w:lang w:val="nl-NL"/>
              </w:rPr>
              <w:t>-</w:t>
            </w:r>
          </w:p>
        </w:tc>
        <w:tc>
          <w:tcPr>
            <w:tcW w:w="1400" w:type="dxa"/>
            <w:vAlign w:val="center"/>
          </w:tcPr>
          <w:p w14:paraId="3AC2B956" w14:textId="2860F794" w:rsidR="00FE169B" w:rsidRDefault="00FE169B" w:rsidP="00B6382B">
            <w:pPr>
              <w:jc w:val="left"/>
              <w:rPr>
                <w:lang w:val="nl-NL"/>
              </w:rPr>
            </w:pPr>
            <w:r>
              <w:rPr>
                <w:lang w:val="nl-NL"/>
              </w:rPr>
              <w:t>-</w:t>
            </w:r>
          </w:p>
        </w:tc>
        <w:tc>
          <w:tcPr>
            <w:tcW w:w="2078" w:type="dxa"/>
            <w:vAlign w:val="center"/>
          </w:tcPr>
          <w:p w14:paraId="19134FA9" w14:textId="3357E5AA" w:rsidR="00FE169B" w:rsidRDefault="00FE169B" w:rsidP="00B6382B">
            <w:pPr>
              <w:jc w:val="left"/>
              <w:rPr>
                <w:lang w:val="nl-NL"/>
              </w:rPr>
            </w:pPr>
            <w:proofErr w:type="spellStart"/>
            <w:r>
              <w:t>ClassType</w:t>
            </w:r>
            <w:proofErr w:type="spellEnd"/>
          </w:p>
        </w:tc>
      </w:tr>
      <w:tr w:rsidR="00FE169B" w:rsidRPr="00721D73" w14:paraId="0714C17C" w14:textId="7D22DC0C" w:rsidTr="202543F3">
        <w:tc>
          <w:tcPr>
            <w:tcW w:w="1535" w:type="dxa"/>
            <w:vMerge/>
          </w:tcPr>
          <w:p w14:paraId="1EF67A63" w14:textId="77777777" w:rsidR="00FE169B" w:rsidRDefault="00FE169B" w:rsidP="0028264A"/>
        </w:tc>
        <w:tc>
          <w:tcPr>
            <w:tcW w:w="4221" w:type="dxa"/>
            <w:vAlign w:val="center"/>
          </w:tcPr>
          <w:p w14:paraId="06949429" w14:textId="647BBE7F" w:rsidR="00FE169B" w:rsidRDefault="00FE169B" w:rsidP="00B6382B">
            <w:pPr>
              <w:jc w:val="left"/>
            </w:pPr>
            <w:r>
              <w:t xml:space="preserve">CUTOFF_TYPE </w:t>
            </w:r>
          </w:p>
        </w:tc>
        <w:tc>
          <w:tcPr>
            <w:tcW w:w="1251" w:type="dxa"/>
            <w:vAlign w:val="center"/>
          </w:tcPr>
          <w:p w14:paraId="0D04AAAF" w14:textId="1B4B463B" w:rsidR="00FE169B" w:rsidRDefault="00FE169B" w:rsidP="00B6382B">
            <w:pPr>
              <w:jc w:val="left"/>
              <w:rPr>
                <w:lang w:val="nl-NL"/>
              </w:rPr>
            </w:pPr>
            <w:r>
              <w:rPr>
                <w:lang w:val="nl-NL"/>
              </w:rPr>
              <w:t>-</w:t>
            </w:r>
          </w:p>
        </w:tc>
        <w:tc>
          <w:tcPr>
            <w:tcW w:w="1400" w:type="dxa"/>
            <w:vAlign w:val="center"/>
          </w:tcPr>
          <w:p w14:paraId="718CBA49" w14:textId="16081E72" w:rsidR="00FE169B" w:rsidRDefault="00FE169B" w:rsidP="00B6382B">
            <w:pPr>
              <w:jc w:val="left"/>
              <w:rPr>
                <w:lang w:val="nl-NL"/>
              </w:rPr>
            </w:pPr>
            <w:r>
              <w:rPr>
                <w:lang w:val="nl-NL"/>
              </w:rPr>
              <w:t>-</w:t>
            </w:r>
          </w:p>
        </w:tc>
        <w:tc>
          <w:tcPr>
            <w:tcW w:w="2078" w:type="dxa"/>
            <w:vAlign w:val="center"/>
          </w:tcPr>
          <w:p w14:paraId="7636D776" w14:textId="4E128066" w:rsidR="00FE169B" w:rsidRDefault="00FE169B" w:rsidP="00B6382B">
            <w:pPr>
              <w:jc w:val="left"/>
              <w:rPr>
                <w:lang w:val="nl-NL"/>
              </w:rPr>
            </w:pPr>
            <w:proofErr w:type="spellStart"/>
            <w:r>
              <w:t>CutoffMaterial</w:t>
            </w:r>
            <w:proofErr w:type="spellEnd"/>
          </w:p>
        </w:tc>
      </w:tr>
      <w:tr w:rsidR="00FE169B" w:rsidRPr="00721D73" w14:paraId="56DF8B45" w14:textId="77777777" w:rsidTr="202543F3">
        <w:trPr>
          <w:trHeight w:val="406"/>
        </w:trPr>
        <w:tc>
          <w:tcPr>
            <w:tcW w:w="1535" w:type="dxa"/>
            <w:vMerge w:val="restart"/>
            <w:vAlign w:val="center"/>
          </w:tcPr>
          <w:p w14:paraId="6C1CE311" w14:textId="3DA521E8" w:rsidR="00FE169B" w:rsidRPr="00D10A7C" w:rsidRDefault="00FE169B" w:rsidP="00FE169B">
            <w:pPr>
              <w:jc w:val="center"/>
            </w:pPr>
            <w:r w:rsidRPr="00D10A7C">
              <w:t>GB Environment Agency Asset I</w:t>
            </w:r>
            <w:r>
              <w:t>nformation Management System</w:t>
            </w:r>
          </w:p>
        </w:tc>
        <w:tc>
          <w:tcPr>
            <w:tcW w:w="4221" w:type="dxa"/>
            <w:vAlign w:val="center"/>
          </w:tcPr>
          <w:p w14:paraId="2B40055E" w14:textId="28D5B60D" w:rsidR="00FE169B" w:rsidRPr="00D10A7C" w:rsidRDefault="00FE169B" w:rsidP="00B6382B">
            <w:pPr>
              <w:jc w:val="left"/>
            </w:pPr>
            <w:proofErr w:type="spellStart"/>
            <w:r w:rsidRPr="000F24AD">
              <w:t>asset_name</w:t>
            </w:r>
            <w:proofErr w:type="spellEnd"/>
          </w:p>
        </w:tc>
        <w:tc>
          <w:tcPr>
            <w:tcW w:w="1251" w:type="dxa"/>
            <w:vAlign w:val="center"/>
          </w:tcPr>
          <w:p w14:paraId="521A9E85" w14:textId="767B132B" w:rsidR="00FE169B" w:rsidRPr="00D10A7C" w:rsidRDefault="00FE169B" w:rsidP="00B6382B">
            <w:pPr>
              <w:jc w:val="left"/>
            </w:pPr>
            <w:r>
              <w:t>-</w:t>
            </w:r>
          </w:p>
        </w:tc>
        <w:tc>
          <w:tcPr>
            <w:tcW w:w="1400" w:type="dxa"/>
            <w:vAlign w:val="center"/>
          </w:tcPr>
          <w:p w14:paraId="62403712" w14:textId="6A9B5620" w:rsidR="00FE169B" w:rsidRPr="00D10A7C" w:rsidRDefault="00FE169B" w:rsidP="00B6382B">
            <w:pPr>
              <w:jc w:val="left"/>
            </w:pPr>
            <w:r>
              <w:t>-</w:t>
            </w:r>
          </w:p>
        </w:tc>
        <w:tc>
          <w:tcPr>
            <w:tcW w:w="2078" w:type="dxa"/>
            <w:vAlign w:val="center"/>
          </w:tcPr>
          <w:p w14:paraId="548D96D0" w14:textId="0A72BEE2" w:rsidR="00FE169B" w:rsidRDefault="00FE169B" w:rsidP="00B6382B">
            <w:pPr>
              <w:jc w:val="left"/>
            </w:pPr>
            <w:r>
              <w:t>NAME</w:t>
            </w:r>
          </w:p>
        </w:tc>
      </w:tr>
      <w:tr w:rsidR="00FE169B" w:rsidRPr="00721D73" w14:paraId="617E4D59" w14:textId="77777777" w:rsidTr="202543F3">
        <w:trPr>
          <w:trHeight w:val="406"/>
        </w:trPr>
        <w:tc>
          <w:tcPr>
            <w:tcW w:w="1535" w:type="dxa"/>
            <w:vMerge/>
          </w:tcPr>
          <w:p w14:paraId="16705D9A" w14:textId="77777777" w:rsidR="00FE169B" w:rsidRPr="00D10A7C" w:rsidRDefault="00FE169B" w:rsidP="0028264A"/>
        </w:tc>
        <w:tc>
          <w:tcPr>
            <w:tcW w:w="4221" w:type="dxa"/>
            <w:vAlign w:val="center"/>
          </w:tcPr>
          <w:p w14:paraId="6FC38AA6" w14:textId="2BD864F1" w:rsidR="00FE169B" w:rsidRPr="00D10A7C" w:rsidRDefault="00FE169B" w:rsidP="00B6382B">
            <w:pPr>
              <w:jc w:val="left"/>
            </w:pPr>
            <w:proofErr w:type="spellStart"/>
            <w:r>
              <w:t>asset_ref</w:t>
            </w:r>
            <w:proofErr w:type="spellEnd"/>
          </w:p>
        </w:tc>
        <w:tc>
          <w:tcPr>
            <w:tcW w:w="1251" w:type="dxa"/>
            <w:vAlign w:val="center"/>
          </w:tcPr>
          <w:p w14:paraId="3BAAFADD" w14:textId="0AB501AB" w:rsidR="00FE169B" w:rsidRPr="00D10A7C" w:rsidRDefault="00FE169B" w:rsidP="00B6382B">
            <w:pPr>
              <w:jc w:val="left"/>
            </w:pPr>
            <w:r>
              <w:t>-</w:t>
            </w:r>
          </w:p>
        </w:tc>
        <w:tc>
          <w:tcPr>
            <w:tcW w:w="1400" w:type="dxa"/>
            <w:vAlign w:val="center"/>
          </w:tcPr>
          <w:p w14:paraId="2966D42B" w14:textId="5D0DAAD3" w:rsidR="00FE169B" w:rsidRPr="00D10A7C" w:rsidRDefault="00FE169B" w:rsidP="00B6382B">
            <w:pPr>
              <w:jc w:val="left"/>
            </w:pPr>
            <w:r>
              <w:t>-</w:t>
            </w:r>
          </w:p>
        </w:tc>
        <w:tc>
          <w:tcPr>
            <w:tcW w:w="2078" w:type="dxa"/>
            <w:vAlign w:val="center"/>
          </w:tcPr>
          <w:p w14:paraId="68E62DF7" w14:textId="0FDEE6EE" w:rsidR="00FE169B" w:rsidRDefault="00FE169B" w:rsidP="00B6382B">
            <w:pPr>
              <w:jc w:val="left"/>
            </w:pPr>
            <w:r>
              <w:t>REFERENCE</w:t>
            </w:r>
          </w:p>
        </w:tc>
      </w:tr>
      <w:tr w:rsidR="00FE169B" w:rsidRPr="00721D73" w14:paraId="4DE541A5" w14:textId="77777777" w:rsidTr="202543F3">
        <w:trPr>
          <w:trHeight w:val="406"/>
        </w:trPr>
        <w:tc>
          <w:tcPr>
            <w:tcW w:w="1535" w:type="dxa"/>
            <w:vMerge/>
          </w:tcPr>
          <w:p w14:paraId="19BF0E15" w14:textId="77777777" w:rsidR="00FE169B" w:rsidRPr="00D10A7C" w:rsidRDefault="00FE169B" w:rsidP="002C70AD"/>
        </w:tc>
        <w:tc>
          <w:tcPr>
            <w:tcW w:w="4221" w:type="dxa"/>
            <w:vAlign w:val="center"/>
          </w:tcPr>
          <w:p w14:paraId="518C08A8" w14:textId="71660A65" w:rsidR="00FE169B" w:rsidRPr="00D10A7C" w:rsidRDefault="00FE169B" w:rsidP="00B6382B">
            <w:pPr>
              <w:jc w:val="left"/>
            </w:pPr>
            <w:proofErr w:type="spellStart"/>
            <w:proofErr w:type="gramStart"/>
            <w:r>
              <w:t>eff</w:t>
            </w:r>
            <w:proofErr w:type="gramEnd"/>
            <w:r>
              <w:t>_crest</w:t>
            </w:r>
            <w:proofErr w:type="spellEnd"/>
          </w:p>
        </w:tc>
        <w:tc>
          <w:tcPr>
            <w:tcW w:w="1251" w:type="dxa"/>
            <w:vAlign w:val="center"/>
          </w:tcPr>
          <w:p w14:paraId="0434E462" w14:textId="262E98A3" w:rsidR="00FE169B" w:rsidRPr="00D10A7C" w:rsidRDefault="00FE169B" w:rsidP="00B6382B">
            <w:pPr>
              <w:jc w:val="left"/>
            </w:pPr>
            <w:r>
              <w:t>mAOD</w:t>
            </w:r>
            <w:r>
              <w:rPr>
                <w:vertAlign w:val="superscript"/>
              </w:rPr>
              <w:t>2</w:t>
            </w:r>
          </w:p>
        </w:tc>
        <w:tc>
          <w:tcPr>
            <w:tcW w:w="1400" w:type="dxa"/>
            <w:vAlign w:val="center"/>
          </w:tcPr>
          <w:p w14:paraId="7C2A44C9" w14:textId="730AD85B" w:rsidR="00FE169B" w:rsidRPr="00D10A7C" w:rsidRDefault="00FE169B" w:rsidP="00B6382B">
            <w:pPr>
              <w:jc w:val="left"/>
            </w:pPr>
            <w:r>
              <w:t>Metres</w:t>
            </w:r>
          </w:p>
        </w:tc>
        <w:tc>
          <w:tcPr>
            <w:tcW w:w="2078" w:type="dxa"/>
            <w:vAlign w:val="center"/>
          </w:tcPr>
          <w:p w14:paraId="7C9DD444" w14:textId="021B1412" w:rsidR="00FE169B" w:rsidRDefault="00FE169B" w:rsidP="00B6382B">
            <w:pPr>
              <w:jc w:val="left"/>
            </w:pPr>
            <w:proofErr w:type="spellStart"/>
            <w:r>
              <w:t>DefenceHeight</w:t>
            </w:r>
            <w:proofErr w:type="spellEnd"/>
          </w:p>
        </w:tc>
      </w:tr>
      <w:tr w:rsidR="00FE169B" w:rsidRPr="00721D73" w14:paraId="558EEE52" w14:textId="77777777" w:rsidTr="202543F3">
        <w:trPr>
          <w:trHeight w:val="406"/>
        </w:trPr>
        <w:tc>
          <w:tcPr>
            <w:tcW w:w="1535" w:type="dxa"/>
            <w:vMerge/>
          </w:tcPr>
          <w:p w14:paraId="6BDB01B8" w14:textId="77777777" w:rsidR="00FE169B" w:rsidRPr="00D10A7C" w:rsidRDefault="00FE169B" w:rsidP="002C70AD"/>
        </w:tc>
        <w:tc>
          <w:tcPr>
            <w:tcW w:w="4221" w:type="dxa"/>
            <w:vAlign w:val="center"/>
          </w:tcPr>
          <w:p w14:paraId="4BDDE841" w14:textId="452E5277" w:rsidR="00FE169B" w:rsidRPr="00D10A7C" w:rsidRDefault="00FE169B" w:rsidP="00B6382B">
            <w:pPr>
              <w:jc w:val="left"/>
            </w:pPr>
            <w:proofErr w:type="spellStart"/>
            <w:r>
              <w:t>sub_type</w:t>
            </w:r>
            <w:proofErr w:type="spellEnd"/>
          </w:p>
        </w:tc>
        <w:tc>
          <w:tcPr>
            <w:tcW w:w="1251" w:type="dxa"/>
            <w:vAlign w:val="center"/>
          </w:tcPr>
          <w:p w14:paraId="1B23DB8F" w14:textId="1D1E7494" w:rsidR="00FE169B" w:rsidRPr="00D10A7C" w:rsidRDefault="00FE169B" w:rsidP="00B6382B">
            <w:pPr>
              <w:jc w:val="left"/>
            </w:pPr>
            <w:r>
              <w:t>-</w:t>
            </w:r>
          </w:p>
        </w:tc>
        <w:tc>
          <w:tcPr>
            <w:tcW w:w="1400" w:type="dxa"/>
            <w:vAlign w:val="center"/>
          </w:tcPr>
          <w:p w14:paraId="49AABD8A" w14:textId="346B00F9" w:rsidR="00FE169B" w:rsidRPr="00D10A7C" w:rsidRDefault="00FE169B" w:rsidP="00B6382B">
            <w:pPr>
              <w:jc w:val="left"/>
            </w:pPr>
            <w:r>
              <w:t>-</w:t>
            </w:r>
          </w:p>
        </w:tc>
        <w:tc>
          <w:tcPr>
            <w:tcW w:w="2078" w:type="dxa"/>
            <w:vAlign w:val="center"/>
          </w:tcPr>
          <w:p w14:paraId="363620A3" w14:textId="588F57E1" w:rsidR="00FE169B" w:rsidRDefault="00FE169B" w:rsidP="00B6382B">
            <w:pPr>
              <w:jc w:val="left"/>
            </w:pPr>
            <w:proofErr w:type="spellStart"/>
            <w:r>
              <w:t>ClassType</w:t>
            </w:r>
            <w:proofErr w:type="spellEnd"/>
          </w:p>
        </w:tc>
      </w:tr>
      <w:tr w:rsidR="00FE169B" w:rsidRPr="00721D73" w14:paraId="4B9F8F55" w14:textId="77777777" w:rsidTr="202543F3">
        <w:trPr>
          <w:trHeight w:val="406"/>
        </w:trPr>
        <w:tc>
          <w:tcPr>
            <w:tcW w:w="1535" w:type="dxa"/>
            <w:vMerge/>
          </w:tcPr>
          <w:p w14:paraId="1F79B331" w14:textId="77777777" w:rsidR="00FE169B" w:rsidRPr="00D10A7C" w:rsidRDefault="00FE169B" w:rsidP="002C70AD"/>
        </w:tc>
        <w:tc>
          <w:tcPr>
            <w:tcW w:w="4221" w:type="dxa"/>
            <w:vAlign w:val="center"/>
          </w:tcPr>
          <w:p w14:paraId="1ADC1E31" w14:textId="6908B014" w:rsidR="00FE169B" w:rsidRPr="00D10A7C" w:rsidRDefault="00FE169B" w:rsidP="00B6382B">
            <w:pPr>
              <w:jc w:val="left"/>
            </w:pPr>
            <w:proofErr w:type="spellStart"/>
            <w:r>
              <w:t>dessop</w:t>
            </w:r>
            <w:proofErr w:type="spellEnd"/>
          </w:p>
        </w:tc>
        <w:tc>
          <w:tcPr>
            <w:tcW w:w="1251" w:type="dxa"/>
            <w:vAlign w:val="center"/>
          </w:tcPr>
          <w:p w14:paraId="097F0AE8" w14:textId="1B8FD44D" w:rsidR="00FE169B" w:rsidRPr="00D10A7C" w:rsidRDefault="00FE169B" w:rsidP="00B6382B">
            <w:pPr>
              <w:jc w:val="left"/>
            </w:pPr>
            <w:r>
              <w:t>n/1</w:t>
            </w:r>
          </w:p>
        </w:tc>
        <w:tc>
          <w:tcPr>
            <w:tcW w:w="1400" w:type="dxa"/>
            <w:vAlign w:val="center"/>
          </w:tcPr>
          <w:p w14:paraId="69D2163C" w14:textId="5A9860F1" w:rsidR="00FE169B" w:rsidRPr="00D10A7C" w:rsidRDefault="00FE169B" w:rsidP="00B6382B">
            <w:pPr>
              <w:jc w:val="left"/>
            </w:pPr>
            <w:r>
              <w:t>1/n (decimal)</w:t>
            </w:r>
          </w:p>
        </w:tc>
        <w:tc>
          <w:tcPr>
            <w:tcW w:w="2078" w:type="dxa"/>
            <w:vAlign w:val="center"/>
          </w:tcPr>
          <w:p w14:paraId="3BABDF3A" w14:textId="5D110245" w:rsidR="00FE169B" w:rsidRDefault="00FE169B" w:rsidP="00B6382B">
            <w:pPr>
              <w:jc w:val="left"/>
            </w:pPr>
            <w:proofErr w:type="spellStart"/>
            <w:r>
              <w:t>DesignStandard</w:t>
            </w:r>
            <w:proofErr w:type="spellEnd"/>
          </w:p>
        </w:tc>
      </w:tr>
      <w:tr w:rsidR="00FE169B" w:rsidRPr="00721D73" w14:paraId="6A4CE1C4" w14:textId="77777777" w:rsidTr="202543F3">
        <w:trPr>
          <w:trHeight w:val="685"/>
        </w:trPr>
        <w:tc>
          <w:tcPr>
            <w:tcW w:w="1535" w:type="dxa"/>
            <w:vMerge w:val="restart"/>
            <w:vAlign w:val="center"/>
          </w:tcPr>
          <w:p w14:paraId="452EEB0A" w14:textId="64421DB0" w:rsidR="00FE169B" w:rsidRPr="00D10A7C" w:rsidRDefault="00FE169B" w:rsidP="00FE169B">
            <w:pPr>
              <w:jc w:val="center"/>
            </w:pPr>
            <w:r>
              <w:t>AU Western Australia FPM Levee Banks (DWER-021)</w:t>
            </w:r>
          </w:p>
        </w:tc>
        <w:tc>
          <w:tcPr>
            <w:tcW w:w="4221" w:type="dxa"/>
            <w:vAlign w:val="center"/>
          </w:tcPr>
          <w:p w14:paraId="33FBBB2C" w14:textId="3E540E3E" w:rsidR="00FE169B" w:rsidRPr="00D10A7C" w:rsidRDefault="00FE169B" w:rsidP="00B6382B">
            <w:pPr>
              <w:jc w:val="left"/>
            </w:pPr>
            <w:r>
              <w:t>location</w:t>
            </w:r>
          </w:p>
        </w:tc>
        <w:tc>
          <w:tcPr>
            <w:tcW w:w="1251" w:type="dxa"/>
            <w:vAlign w:val="center"/>
          </w:tcPr>
          <w:p w14:paraId="5B4846F9" w14:textId="2B5358F8" w:rsidR="00FE169B" w:rsidRPr="00D10A7C" w:rsidRDefault="00FE169B" w:rsidP="00B6382B">
            <w:pPr>
              <w:jc w:val="left"/>
            </w:pPr>
            <w:r>
              <w:t>-</w:t>
            </w:r>
          </w:p>
        </w:tc>
        <w:tc>
          <w:tcPr>
            <w:tcW w:w="1400" w:type="dxa"/>
            <w:vAlign w:val="center"/>
          </w:tcPr>
          <w:p w14:paraId="7ED79CF0" w14:textId="3788E9A7" w:rsidR="00FE169B" w:rsidRPr="00D10A7C" w:rsidRDefault="00FE169B" w:rsidP="00B6382B">
            <w:pPr>
              <w:jc w:val="left"/>
            </w:pPr>
            <w:r>
              <w:t>-</w:t>
            </w:r>
          </w:p>
        </w:tc>
        <w:tc>
          <w:tcPr>
            <w:tcW w:w="2078" w:type="dxa"/>
            <w:vAlign w:val="center"/>
          </w:tcPr>
          <w:p w14:paraId="30ACA544" w14:textId="2099DFC9" w:rsidR="00FE169B" w:rsidRDefault="00FE169B" w:rsidP="00B6382B">
            <w:pPr>
              <w:jc w:val="left"/>
            </w:pPr>
            <w:r>
              <w:t>NAME</w:t>
            </w:r>
          </w:p>
        </w:tc>
      </w:tr>
      <w:tr w:rsidR="00FE169B" w:rsidRPr="00721D73" w14:paraId="6019AD79" w14:textId="77777777" w:rsidTr="202543F3">
        <w:trPr>
          <w:trHeight w:val="685"/>
        </w:trPr>
        <w:tc>
          <w:tcPr>
            <w:tcW w:w="1535" w:type="dxa"/>
            <w:vMerge/>
          </w:tcPr>
          <w:p w14:paraId="3CEDA75E" w14:textId="77777777" w:rsidR="00FE169B" w:rsidRDefault="00FE169B" w:rsidP="002C70AD"/>
        </w:tc>
        <w:tc>
          <w:tcPr>
            <w:tcW w:w="4221" w:type="dxa"/>
            <w:vAlign w:val="center"/>
          </w:tcPr>
          <w:p w14:paraId="043A888F" w14:textId="1EC755F6" w:rsidR="00FE169B" w:rsidRPr="000F24AD" w:rsidRDefault="00FE169B" w:rsidP="00B6382B">
            <w:pPr>
              <w:jc w:val="left"/>
            </w:pPr>
            <w:proofErr w:type="spellStart"/>
            <w:r>
              <w:t>ufi</w:t>
            </w:r>
            <w:proofErr w:type="spellEnd"/>
          </w:p>
        </w:tc>
        <w:tc>
          <w:tcPr>
            <w:tcW w:w="1251" w:type="dxa"/>
            <w:vAlign w:val="center"/>
          </w:tcPr>
          <w:p w14:paraId="54958D65" w14:textId="01E93E11" w:rsidR="00FE169B" w:rsidRDefault="00FE169B" w:rsidP="00B6382B">
            <w:pPr>
              <w:jc w:val="left"/>
            </w:pPr>
            <w:r>
              <w:t>-</w:t>
            </w:r>
          </w:p>
        </w:tc>
        <w:tc>
          <w:tcPr>
            <w:tcW w:w="1400" w:type="dxa"/>
            <w:vAlign w:val="center"/>
          </w:tcPr>
          <w:p w14:paraId="085E456B" w14:textId="6BFEB53D" w:rsidR="00FE169B" w:rsidRDefault="00FE169B" w:rsidP="00B6382B">
            <w:pPr>
              <w:jc w:val="left"/>
            </w:pPr>
            <w:r>
              <w:t>-</w:t>
            </w:r>
          </w:p>
        </w:tc>
        <w:tc>
          <w:tcPr>
            <w:tcW w:w="2078" w:type="dxa"/>
            <w:vAlign w:val="center"/>
          </w:tcPr>
          <w:p w14:paraId="2399D8AA" w14:textId="7011727E" w:rsidR="00FE169B" w:rsidRDefault="00FE169B" w:rsidP="00B6382B">
            <w:pPr>
              <w:jc w:val="left"/>
            </w:pPr>
            <w:r>
              <w:t>REFERENCE</w:t>
            </w:r>
          </w:p>
        </w:tc>
      </w:tr>
      <w:tr w:rsidR="00FE169B" w:rsidRPr="00DE115C" w14:paraId="527834C2" w14:textId="77777777" w:rsidTr="202543F3">
        <w:tc>
          <w:tcPr>
            <w:tcW w:w="1535" w:type="dxa"/>
            <w:vMerge w:val="restart"/>
            <w:vAlign w:val="center"/>
          </w:tcPr>
          <w:p w14:paraId="1FCB3F03" w14:textId="10F093F8" w:rsidR="00FE169B" w:rsidRDefault="00FE169B" w:rsidP="00FE169B">
            <w:pPr>
              <w:jc w:val="center"/>
            </w:pPr>
            <w:r>
              <w:t xml:space="preserve">NL Rijkswaterstaat </w:t>
            </w:r>
            <w:proofErr w:type="spellStart"/>
            <w:r>
              <w:t>Dijkring</w:t>
            </w:r>
            <w:proofErr w:type="spellEnd"/>
          </w:p>
        </w:tc>
        <w:tc>
          <w:tcPr>
            <w:tcW w:w="4221" w:type="dxa"/>
            <w:vAlign w:val="center"/>
          </w:tcPr>
          <w:p w14:paraId="533D16E7" w14:textId="00DA12F3" w:rsidR="00FE169B" w:rsidRPr="00DE115C" w:rsidRDefault="00FE169B" w:rsidP="00B6382B">
            <w:pPr>
              <w:jc w:val="left"/>
              <w:rPr>
                <w:lang w:val="nl-NL"/>
              </w:rPr>
            </w:pPr>
            <w:r w:rsidRPr="00FC0961">
              <w:rPr>
                <w:lang w:val="nl-NL"/>
              </w:rPr>
              <w:t>DIJKR1</w:t>
            </w:r>
            <w:r>
              <w:rPr>
                <w:lang w:val="nl-NL"/>
              </w:rPr>
              <w:t xml:space="preserve"> </w:t>
            </w:r>
            <w:r>
              <w:rPr>
                <w:b/>
                <w:bCs/>
                <w:lang w:val="nl-NL"/>
              </w:rPr>
              <w:t>AND</w:t>
            </w:r>
            <w:r w:rsidRPr="00FC0961">
              <w:rPr>
                <w:lang w:val="nl-NL"/>
              </w:rPr>
              <w:t xml:space="preserve"> NM_WATER1</w:t>
            </w:r>
          </w:p>
        </w:tc>
        <w:tc>
          <w:tcPr>
            <w:tcW w:w="1251" w:type="dxa"/>
            <w:vAlign w:val="center"/>
          </w:tcPr>
          <w:p w14:paraId="69A47A53" w14:textId="2EEA592F" w:rsidR="00FE169B" w:rsidRPr="00DE115C" w:rsidRDefault="00FE169B" w:rsidP="00B6382B">
            <w:pPr>
              <w:jc w:val="left"/>
              <w:rPr>
                <w:lang w:val="nl-NL"/>
              </w:rPr>
            </w:pPr>
            <w:r>
              <w:rPr>
                <w:lang w:val="nl-NL"/>
              </w:rPr>
              <w:t>-</w:t>
            </w:r>
          </w:p>
        </w:tc>
        <w:tc>
          <w:tcPr>
            <w:tcW w:w="1400" w:type="dxa"/>
            <w:vAlign w:val="center"/>
          </w:tcPr>
          <w:p w14:paraId="65F5BD42" w14:textId="6F6C1C2A" w:rsidR="00FE169B" w:rsidRPr="00DE115C" w:rsidRDefault="00FE169B" w:rsidP="00B6382B">
            <w:pPr>
              <w:jc w:val="left"/>
              <w:rPr>
                <w:lang w:val="nl-NL"/>
              </w:rPr>
            </w:pPr>
            <w:r>
              <w:rPr>
                <w:lang w:val="nl-NL"/>
              </w:rPr>
              <w:t>-</w:t>
            </w:r>
          </w:p>
        </w:tc>
        <w:tc>
          <w:tcPr>
            <w:tcW w:w="2078" w:type="dxa"/>
            <w:vAlign w:val="center"/>
          </w:tcPr>
          <w:p w14:paraId="1F6A7787" w14:textId="6C152922" w:rsidR="00FE169B" w:rsidRPr="00DE115C" w:rsidRDefault="00FE169B" w:rsidP="00B6382B">
            <w:pPr>
              <w:jc w:val="left"/>
              <w:rPr>
                <w:lang w:val="nl-NL"/>
              </w:rPr>
            </w:pPr>
            <w:r>
              <w:rPr>
                <w:lang w:val="nl-NL"/>
              </w:rPr>
              <w:t>NAME</w:t>
            </w:r>
          </w:p>
        </w:tc>
      </w:tr>
      <w:tr w:rsidR="00FE169B" w:rsidRPr="00DE115C" w14:paraId="1D3D667E" w14:textId="77777777" w:rsidTr="202543F3">
        <w:tc>
          <w:tcPr>
            <w:tcW w:w="1535" w:type="dxa"/>
            <w:vMerge/>
          </w:tcPr>
          <w:p w14:paraId="6A8ED8BF" w14:textId="77777777" w:rsidR="00FE169B" w:rsidRDefault="00FE169B" w:rsidP="002C70AD"/>
        </w:tc>
        <w:tc>
          <w:tcPr>
            <w:tcW w:w="4221" w:type="dxa"/>
            <w:vAlign w:val="center"/>
          </w:tcPr>
          <w:p w14:paraId="051E19EA" w14:textId="3788B856" w:rsidR="00FE169B" w:rsidRPr="00FC0961" w:rsidRDefault="00FE169B" w:rsidP="00B6382B">
            <w:pPr>
              <w:jc w:val="left"/>
              <w:rPr>
                <w:lang w:val="nl-NL"/>
              </w:rPr>
            </w:pPr>
            <w:r w:rsidRPr="00CB0434">
              <w:rPr>
                <w:lang w:val="nl-NL"/>
              </w:rPr>
              <w:t>DIJKNR1</w:t>
            </w:r>
          </w:p>
        </w:tc>
        <w:tc>
          <w:tcPr>
            <w:tcW w:w="1251" w:type="dxa"/>
            <w:vAlign w:val="center"/>
          </w:tcPr>
          <w:p w14:paraId="6ED4E984" w14:textId="1D6D45A4" w:rsidR="00FE169B" w:rsidRDefault="00FE169B" w:rsidP="00B6382B">
            <w:pPr>
              <w:jc w:val="left"/>
              <w:rPr>
                <w:lang w:val="nl-NL"/>
              </w:rPr>
            </w:pPr>
            <w:r>
              <w:rPr>
                <w:lang w:val="nl-NL"/>
              </w:rPr>
              <w:t>-</w:t>
            </w:r>
          </w:p>
        </w:tc>
        <w:tc>
          <w:tcPr>
            <w:tcW w:w="1400" w:type="dxa"/>
            <w:vAlign w:val="center"/>
          </w:tcPr>
          <w:p w14:paraId="790F600A" w14:textId="041555F6" w:rsidR="00FE169B" w:rsidRDefault="00FE169B" w:rsidP="00B6382B">
            <w:pPr>
              <w:jc w:val="left"/>
              <w:rPr>
                <w:lang w:val="nl-NL"/>
              </w:rPr>
            </w:pPr>
            <w:r>
              <w:rPr>
                <w:lang w:val="nl-NL"/>
              </w:rPr>
              <w:t>-</w:t>
            </w:r>
          </w:p>
        </w:tc>
        <w:tc>
          <w:tcPr>
            <w:tcW w:w="2078" w:type="dxa"/>
            <w:vAlign w:val="center"/>
          </w:tcPr>
          <w:p w14:paraId="5DE45FD5" w14:textId="31FD5565" w:rsidR="00FE169B" w:rsidRDefault="00FE169B" w:rsidP="00B6382B">
            <w:pPr>
              <w:jc w:val="left"/>
              <w:rPr>
                <w:lang w:val="nl-NL"/>
              </w:rPr>
            </w:pPr>
            <w:r>
              <w:t>REFERENCE</w:t>
            </w:r>
          </w:p>
        </w:tc>
      </w:tr>
      <w:tr w:rsidR="00FE169B" w:rsidRPr="00DE115C" w14:paraId="3AC9E0B2" w14:textId="77777777" w:rsidTr="202543F3">
        <w:tc>
          <w:tcPr>
            <w:tcW w:w="1535" w:type="dxa"/>
            <w:vMerge/>
          </w:tcPr>
          <w:p w14:paraId="0C9F4CEC" w14:textId="77777777" w:rsidR="00FE169B" w:rsidRDefault="00FE169B" w:rsidP="002C70AD"/>
        </w:tc>
        <w:tc>
          <w:tcPr>
            <w:tcW w:w="4221" w:type="dxa"/>
            <w:vAlign w:val="center"/>
          </w:tcPr>
          <w:p w14:paraId="5656C423" w14:textId="2144A159" w:rsidR="00FE169B" w:rsidRPr="00CB0434" w:rsidRDefault="00FE169B" w:rsidP="00B6382B">
            <w:pPr>
              <w:jc w:val="left"/>
              <w:rPr>
                <w:lang w:val="nl-NL"/>
              </w:rPr>
            </w:pPr>
            <w:r>
              <w:rPr>
                <w:lang w:val="nl-NL"/>
              </w:rPr>
              <w:t>WK_TYPE [Dutch]</w:t>
            </w:r>
          </w:p>
        </w:tc>
        <w:tc>
          <w:tcPr>
            <w:tcW w:w="1251" w:type="dxa"/>
            <w:vAlign w:val="center"/>
          </w:tcPr>
          <w:p w14:paraId="59AF5AB7" w14:textId="0A91C079" w:rsidR="00FE169B" w:rsidRDefault="00FE169B" w:rsidP="00B6382B">
            <w:pPr>
              <w:jc w:val="left"/>
              <w:rPr>
                <w:lang w:val="nl-NL"/>
              </w:rPr>
            </w:pPr>
            <w:r>
              <w:rPr>
                <w:lang w:val="nl-NL"/>
              </w:rPr>
              <w:t>-</w:t>
            </w:r>
          </w:p>
        </w:tc>
        <w:tc>
          <w:tcPr>
            <w:tcW w:w="1400" w:type="dxa"/>
            <w:vAlign w:val="center"/>
          </w:tcPr>
          <w:p w14:paraId="3737FCD1" w14:textId="1491A6D2" w:rsidR="00FE169B" w:rsidRDefault="00FE169B" w:rsidP="00B6382B">
            <w:pPr>
              <w:jc w:val="left"/>
              <w:rPr>
                <w:lang w:val="nl-NL"/>
              </w:rPr>
            </w:pPr>
            <w:r>
              <w:rPr>
                <w:lang w:val="nl-NL"/>
              </w:rPr>
              <w:t>-</w:t>
            </w:r>
          </w:p>
        </w:tc>
        <w:tc>
          <w:tcPr>
            <w:tcW w:w="2078" w:type="dxa"/>
            <w:vAlign w:val="center"/>
          </w:tcPr>
          <w:p w14:paraId="79EAABB3" w14:textId="1A26CD86" w:rsidR="00FE169B" w:rsidRDefault="00FE169B" w:rsidP="00B6382B">
            <w:pPr>
              <w:jc w:val="left"/>
            </w:pPr>
            <w:proofErr w:type="spellStart"/>
            <w:r>
              <w:t>ClassType</w:t>
            </w:r>
            <w:proofErr w:type="spellEnd"/>
          </w:p>
        </w:tc>
      </w:tr>
      <w:tr w:rsidR="00FE169B" w:rsidRPr="00DE115C" w14:paraId="0E7311D8" w14:textId="77777777" w:rsidTr="202543F3">
        <w:tc>
          <w:tcPr>
            <w:tcW w:w="1535" w:type="dxa"/>
            <w:vMerge/>
          </w:tcPr>
          <w:p w14:paraId="26116130" w14:textId="77777777" w:rsidR="00FE169B" w:rsidRDefault="00FE169B" w:rsidP="002C70AD"/>
        </w:tc>
        <w:tc>
          <w:tcPr>
            <w:tcW w:w="4221" w:type="dxa"/>
            <w:vAlign w:val="center"/>
          </w:tcPr>
          <w:p w14:paraId="03CA2E95" w14:textId="29E02262" w:rsidR="00FE169B" w:rsidRDefault="00FE169B" w:rsidP="00B6382B">
            <w:pPr>
              <w:jc w:val="left"/>
              <w:rPr>
                <w:lang w:val="nl-NL"/>
              </w:rPr>
            </w:pPr>
            <w:r>
              <w:rPr>
                <w:lang w:val="nl-NL"/>
              </w:rPr>
              <w:t>NORM</w:t>
            </w:r>
          </w:p>
        </w:tc>
        <w:tc>
          <w:tcPr>
            <w:tcW w:w="1251" w:type="dxa"/>
            <w:vAlign w:val="center"/>
          </w:tcPr>
          <w:p w14:paraId="7E69A9D2" w14:textId="19C23537" w:rsidR="00FE169B" w:rsidRDefault="00FE169B" w:rsidP="00B6382B">
            <w:pPr>
              <w:jc w:val="left"/>
              <w:rPr>
                <w:lang w:val="nl-NL"/>
              </w:rPr>
            </w:pPr>
            <w:r>
              <w:rPr>
                <w:lang w:val="nl-NL"/>
              </w:rPr>
              <w:t>n/1</w:t>
            </w:r>
          </w:p>
        </w:tc>
        <w:tc>
          <w:tcPr>
            <w:tcW w:w="1400" w:type="dxa"/>
            <w:vAlign w:val="center"/>
          </w:tcPr>
          <w:p w14:paraId="36A4D720" w14:textId="206410FE" w:rsidR="00FE169B" w:rsidRDefault="00FE169B" w:rsidP="00B6382B">
            <w:pPr>
              <w:jc w:val="left"/>
              <w:rPr>
                <w:lang w:val="nl-NL"/>
              </w:rPr>
            </w:pPr>
            <w:r>
              <w:rPr>
                <w:lang w:val="nl-NL"/>
              </w:rPr>
              <w:t>1/n (decimal)</w:t>
            </w:r>
          </w:p>
        </w:tc>
        <w:tc>
          <w:tcPr>
            <w:tcW w:w="2078" w:type="dxa"/>
            <w:vAlign w:val="center"/>
          </w:tcPr>
          <w:p w14:paraId="6CDDA796" w14:textId="092A027B" w:rsidR="00FE169B" w:rsidRDefault="00FE169B" w:rsidP="00B6382B">
            <w:pPr>
              <w:jc w:val="left"/>
            </w:pPr>
            <w:proofErr w:type="spellStart"/>
            <w:r>
              <w:t>DesignStandard</w:t>
            </w:r>
            <w:proofErr w:type="spellEnd"/>
          </w:p>
        </w:tc>
      </w:tr>
    </w:tbl>
    <w:p w14:paraId="049C3657" w14:textId="3BBEB330" w:rsidR="00F206F1" w:rsidRPr="00DE115C" w:rsidRDefault="00F206F1" w:rsidP="00F206F1">
      <w:pPr>
        <w:rPr>
          <w:lang w:val="nl-NL"/>
        </w:rPr>
      </w:pPr>
    </w:p>
    <w:p w14:paraId="1DED0EC2" w14:textId="7C5A3CF2" w:rsidR="00F206F1" w:rsidRDefault="00F835BD" w:rsidP="00EA0578">
      <w:pPr>
        <w:pStyle w:val="Caption"/>
        <w:jc w:val="left"/>
      </w:pPr>
      <w:r>
        <w:t xml:space="preserve">Supplementary </w:t>
      </w:r>
      <w:r w:rsidR="00B47FA3">
        <w:t>Table</w:t>
      </w:r>
      <w:r w:rsidR="00F206F1">
        <w:t xml:space="preserve"> </w:t>
      </w:r>
      <w:r w:rsidR="00B47FA3">
        <w:t>S</w:t>
      </w:r>
      <w:r>
        <w:t>2</w:t>
      </w:r>
      <w:r w:rsidR="00F206F1">
        <w:t>:</w:t>
      </w:r>
      <w:r w:rsidR="00911ACF">
        <w:t xml:space="preserve"> Synonyms and units of measure in source vector datasets.</w:t>
      </w:r>
      <w:r w:rsidR="004D7486">
        <w:br/>
      </w:r>
      <w:r w:rsidR="004D7486" w:rsidRPr="009F38DE">
        <w:rPr>
          <w:vertAlign w:val="superscript"/>
        </w:rPr>
        <w:t>1</w:t>
      </w:r>
      <w:r w:rsidR="00911ACF" w:rsidRPr="009F38DE">
        <w:t xml:space="preserve">Conversions from customary units were made according to </w:t>
      </w:r>
      <w:r w:rsidR="00166140" w:rsidRPr="009F38DE">
        <w:t xml:space="preserve">NIST Guide to the SI </w:t>
      </w:r>
      <w:r w:rsidR="00941692" w:rsidRPr="009F38DE">
        <w:t>conversation factors</w:t>
      </w:r>
      <w:r w:rsidR="007636F2" w:rsidRPr="009F38DE">
        <w:br/>
      </w:r>
      <w:r w:rsidR="00941692" w:rsidRPr="009F38DE">
        <w:t>(NIST Special Publication 811, Appendix B.8</w:t>
      </w:r>
      <w:r w:rsidR="007636F2" w:rsidRPr="009F38DE">
        <w:t>, https://www.nist.gov/pml/special-publication-811</w:t>
      </w:r>
      <w:r w:rsidR="00941692" w:rsidRPr="009F38DE">
        <w:t xml:space="preserve">). </w:t>
      </w:r>
      <w:r w:rsidR="007636F2" w:rsidRPr="009F38DE">
        <w:br/>
      </w:r>
      <w:r w:rsidR="004D7486" w:rsidRPr="009F38DE">
        <w:rPr>
          <w:vertAlign w:val="superscript"/>
        </w:rPr>
        <w:t>2</w:t>
      </w:r>
      <w:r w:rsidR="00941692" w:rsidRPr="009F38DE">
        <w:t xml:space="preserve">No adjustment was made for values recorded </w:t>
      </w:r>
      <w:proofErr w:type="spellStart"/>
      <w:r w:rsidR="00941692" w:rsidRPr="009F38DE">
        <w:t>mAOD</w:t>
      </w:r>
      <w:proofErr w:type="spellEnd"/>
      <w:r w:rsidR="00941692" w:rsidRPr="009F38DE">
        <w:t xml:space="preserve"> (</w:t>
      </w:r>
      <w:r w:rsidR="00D9454C" w:rsidRPr="009F38DE">
        <w:t xml:space="preserve">OSGB </w:t>
      </w:r>
      <w:r w:rsidR="00941692" w:rsidRPr="009F38DE">
        <w:t xml:space="preserve">Newlyn) </w:t>
      </w:r>
      <w:r w:rsidR="00290ACF" w:rsidRPr="009F38DE">
        <w:t xml:space="preserve">on account of the fact the delta areas contained in this dataset were at coastal interfaces and thus assumed to be within </w:t>
      </w:r>
      <w:r w:rsidR="005041CA" w:rsidRPr="009F38DE">
        <w:t>reasonable</w:t>
      </w:r>
      <w:r w:rsidR="00FD1EDE" w:rsidRPr="009F38DE">
        <w:t xml:space="preserve"> range of the datum.</w:t>
      </w:r>
      <w:r w:rsidR="002D6BC2" w:rsidRPr="009F38DE">
        <w:br/>
      </w:r>
      <w:r w:rsidR="004D7486" w:rsidRPr="009F38DE">
        <w:rPr>
          <w:vertAlign w:val="superscript"/>
        </w:rPr>
        <w:t>3</w:t>
      </w:r>
      <w:r w:rsidR="00855EE0" w:rsidRPr="009F38DE">
        <w:t xml:space="preserve">Fields are only from vector national databases </w:t>
      </w:r>
      <w:r w:rsidR="004F33C7" w:rsidRPr="009F38DE">
        <w:t xml:space="preserve">and only </w:t>
      </w:r>
      <w:r w:rsidR="00BA1FF4" w:rsidRPr="009F38DE">
        <w:t xml:space="preserve">where they match the core fields. This tables </w:t>
      </w:r>
      <w:proofErr w:type="gramStart"/>
      <w:r w:rsidR="00BA1FF4" w:rsidRPr="009F38DE">
        <w:t>does</w:t>
      </w:r>
      <w:proofErr w:type="gramEnd"/>
      <w:r w:rsidR="00BA1FF4" w:rsidRPr="009F38DE">
        <w:t xml:space="preserve"> not represent all fields in the database.</w:t>
      </w:r>
    </w:p>
    <w:tbl>
      <w:tblPr>
        <w:tblStyle w:val="TableGrid"/>
        <w:tblW w:w="0" w:type="auto"/>
        <w:tblLook w:val="04A0" w:firstRow="1" w:lastRow="0" w:firstColumn="1" w:lastColumn="0" w:noHBand="0" w:noVBand="1"/>
      </w:tblPr>
      <w:tblGrid>
        <w:gridCol w:w="10251"/>
      </w:tblGrid>
      <w:tr w:rsidR="00971E95" w14:paraId="2E54EA34" w14:textId="77777777" w:rsidTr="72D8D297">
        <w:tc>
          <w:tcPr>
            <w:tcW w:w="10251" w:type="dxa"/>
          </w:tcPr>
          <w:p w14:paraId="3B31FF3C" w14:textId="0535C21E" w:rsidR="00F04AAC" w:rsidRPr="00F04AAC" w:rsidRDefault="00F04AAC" w:rsidP="00F04AAC">
            <w:pPr>
              <w:pStyle w:val="Heading1"/>
              <w:rPr>
                <w:i/>
                <w:iCs/>
              </w:rPr>
            </w:pPr>
            <w:r w:rsidRPr="00F04AAC">
              <w:rPr>
                <w:i/>
                <w:iCs/>
              </w:rPr>
              <w:lastRenderedPageBreak/>
              <w:t>Raster data interpretation process</w:t>
            </w:r>
          </w:p>
          <w:p w14:paraId="3AAE16B0" w14:textId="52D2DA39" w:rsidR="00F04AAC" w:rsidRDefault="00971E95" w:rsidP="00971E95">
            <w:r>
              <w:t xml:space="preserve">Where we could find levee data, </w:t>
            </w:r>
            <w:r w:rsidR="00F04AAC">
              <w:t>but</w:t>
            </w:r>
            <w:r>
              <w:t xml:space="preserve"> no information on leveed area was found (such as the Australian levee datasets, but also some raster sources where only levee extent was detailed) then we developed a manual analysis to decide the area protected by a levee. </w:t>
            </w:r>
          </w:p>
          <w:p w14:paraId="4A5846CC" w14:textId="77777777" w:rsidR="00F04AAC" w:rsidRDefault="00F04AAC" w:rsidP="00971E95"/>
          <w:p w14:paraId="77D7DE0E" w14:textId="43A920B3" w:rsidR="00971E95" w:rsidRDefault="00971E95" w:rsidP="00971E95">
            <w:r>
              <w:t>Our interpretation made use of the following factors:</w:t>
            </w:r>
          </w:p>
          <w:p w14:paraId="2F6EBB05" w14:textId="77777777" w:rsidR="00971E95" w:rsidRDefault="00971E95" w:rsidP="00971E95">
            <w:pPr>
              <w:pStyle w:val="ListParagraph"/>
              <w:numPr>
                <w:ilvl w:val="0"/>
                <w:numId w:val="9"/>
              </w:numPr>
            </w:pPr>
            <w:r>
              <w:t>Location of levees relative to rivers</w:t>
            </w:r>
          </w:p>
          <w:p w14:paraId="46097313" w14:textId="574C823E" w:rsidR="00971E95" w:rsidRDefault="00971E95" w:rsidP="00971E95">
            <w:pPr>
              <w:pStyle w:val="ListParagraph"/>
              <w:numPr>
                <w:ilvl w:val="0"/>
                <w:numId w:val="9"/>
              </w:numPr>
            </w:pPr>
            <w:r>
              <w:t>Topographical changes in the proximal area</w:t>
            </w:r>
            <w:r w:rsidR="00554ECF">
              <w:t xml:space="preserve"> (verified using satellite imagery)</w:t>
            </w:r>
          </w:p>
          <w:p w14:paraId="73908BF2" w14:textId="77777777" w:rsidR="00971E95" w:rsidRDefault="00971E95" w:rsidP="00971E95">
            <w:pPr>
              <w:pStyle w:val="ListParagraph"/>
              <w:numPr>
                <w:ilvl w:val="0"/>
                <w:numId w:val="9"/>
              </w:numPr>
            </w:pPr>
            <w:r>
              <w:t>Presence of other hydrological features that inhibit levee function</w:t>
            </w:r>
          </w:p>
          <w:p w14:paraId="0B55C046" w14:textId="77777777" w:rsidR="00971E95" w:rsidRDefault="00971E95" w:rsidP="00971E95">
            <w:pPr>
              <w:pStyle w:val="ListParagraph"/>
              <w:numPr>
                <w:ilvl w:val="0"/>
                <w:numId w:val="9"/>
              </w:numPr>
            </w:pPr>
            <w:r>
              <w:t>Best-effort estimation of levee protection</w:t>
            </w:r>
          </w:p>
          <w:p w14:paraId="517E57A5" w14:textId="77777777" w:rsidR="00F04AAC" w:rsidRDefault="00F04AAC" w:rsidP="00971E95"/>
          <w:p w14:paraId="73BDEC8F" w14:textId="23E2DE7E" w:rsidR="00971E95" w:rsidRDefault="00971E95" w:rsidP="00971E95">
            <w:r>
              <w:t>Where necessary, we decided the following constraints were to be applied:</w:t>
            </w:r>
          </w:p>
          <w:p w14:paraId="58290D74" w14:textId="77777777" w:rsidR="00971E95" w:rsidRDefault="00971E95" w:rsidP="00971E95">
            <w:pPr>
              <w:pStyle w:val="ListParagraph"/>
              <w:numPr>
                <w:ilvl w:val="0"/>
                <w:numId w:val="9"/>
              </w:numPr>
            </w:pPr>
            <w:r>
              <w:t>Where the levee forms an enclosed shape, no vertices were to be added</w:t>
            </w:r>
          </w:p>
          <w:p w14:paraId="39F5FD5F" w14:textId="77777777" w:rsidR="00971E95" w:rsidRDefault="00971E95" w:rsidP="00971E95">
            <w:pPr>
              <w:pStyle w:val="ListParagraph"/>
              <w:numPr>
                <w:ilvl w:val="0"/>
                <w:numId w:val="9"/>
              </w:numPr>
            </w:pPr>
            <w:r>
              <w:t>Where this was not possible, a minimal number of additional vertices were added, so that the leveed area remained realistic, but the outline of the levee features remained true to the source data</w:t>
            </w:r>
          </w:p>
          <w:p w14:paraId="2D06045F" w14:textId="77777777" w:rsidR="00971E95" w:rsidRDefault="00971E95" w:rsidP="00971E95">
            <w:pPr>
              <w:pStyle w:val="ListParagraph"/>
              <w:numPr>
                <w:ilvl w:val="0"/>
                <w:numId w:val="9"/>
              </w:numPr>
            </w:pPr>
            <w:r>
              <w:t>Where the levee followed a coastline or other clearly defined feature (</w:t>
            </w:r>
            <w:proofErr w:type="gramStart"/>
            <w:r>
              <w:t>e.g.</w:t>
            </w:r>
            <w:proofErr w:type="gramEnd"/>
            <w:r>
              <w:t xml:space="preserve"> road, railway, sea wall), and this was confirmed in satellite imagery to have an elevation difference, this was sparingly used to ensure that the leveed area remained a complete shape</w:t>
            </w:r>
          </w:p>
          <w:p w14:paraId="5AE288B3" w14:textId="77777777" w:rsidR="00971E95" w:rsidRDefault="00971E95" w:rsidP="00971E95">
            <w:pPr>
              <w:pStyle w:val="ListParagraph"/>
              <w:numPr>
                <w:ilvl w:val="0"/>
                <w:numId w:val="9"/>
              </w:numPr>
            </w:pPr>
            <w:r>
              <w:t>Where a levee feature crossed a water body, two separate shapes were drawn but with reference to the same source dataset</w:t>
            </w:r>
          </w:p>
          <w:p w14:paraId="7A18A62E" w14:textId="77777777" w:rsidR="00971E95" w:rsidRDefault="00971E95" w:rsidP="00971E95">
            <w:pPr>
              <w:pStyle w:val="ListParagraph"/>
              <w:numPr>
                <w:ilvl w:val="0"/>
                <w:numId w:val="9"/>
              </w:numPr>
            </w:pPr>
            <w:r>
              <w:t>With respect to the age and purpose of the data, where contradictory data was received, it was reviewed together with the satellite imagery and the decision made was entered into the delta index.</w:t>
            </w:r>
          </w:p>
          <w:p w14:paraId="5BB0F286" w14:textId="7C76F16C" w:rsidR="00F04AAC" w:rsidRDefault="00F04AAC" w:rsidP="00F04AAC"/>
        </w:tc>
      </w:tr>
    </w:tbl>
    <w:p w14:paraId="10BFC0E9" w14:textId="6791ED1B" w:rsidR="00971E95" w:rsidRDefault="00971E95" w:rsidP="00971E95"/>
    <w:p w14:paraId="6442040A" w14:textId="52535CBE" w:rsidR="00971E95" w:rsidRPr="00971E95" w:rsidRDefault="00F835BD" w:rsidP="00971E95">
      <w:pPr>
        <w:pStyle w:val="Caption"/>
      </w:pPr>
      <w:r>
        <w:t>Supplementary Figure</w:t>
      </w:r>
      <w:r w:rsidR="00B47FA3">
        <w:t xml:space="preserve"> S</w:t>
      </w:r>
      <w:r>
        <w:t>3</w:t>
      </w:r>
      <w:r w:rsidR="00971E95">
        <w:t xml:space="preserve">: Manual interpretative process for creation of levee areas where only linear data </w:t>
      </w:r>
      <w:r w:rsidR="005041CA">
        <w:t>were</w:t>
      </w:r>
      <w:r w:rsidR="00971E95">
        <w:t xml:space="preserve"> available</w:t>
      </w:r>
    </w:p>
    <w:sectPr w:rsidR="00971E95" w:rsidRPr="00971E95" w:rsidSect="00F512A5">
      <w:pgSz w:w="11907" w:h="13608"/>
      <w:pgMar w:top="567" w:right="936" w:bottom="1338" w:left="936" w:header="0" w:footer="737" w:gutter="0"/>
      <w:lnNumType w:countBy="5" w:distance="227"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4221DA" w14:textId="77777777" w:rsidR="00191807" w:rsidRDefault="00191807" w:rsidP="006D0C96">
      <w:pPr>
        <w:spacing w:line="240" w:lineRule="auto"/>
      </w:pPr>
      <w:r>
        <w:separator/>
      </w:r>
    </w:p>
  </w:endnote>
  <w:endnote w:type="continuationSeparator" w:id="0">
    <w:p w14:paraId="6AD73450" w14:textId="77777777" w:rsidR="00191807" w:rsidRDefault="00191807" w:rsidP="006D0C96">
      <w:pPr>
        <w:spacing w:line="240" w:lineRule="auto"/>
      </w:pPr>
      <w:r>
        <w:continuationSeparator/>
      </w:r>
    </w:p>
  </w:endnote>
  <w:endnote w:type="continuationNotice" w:id="1">
    <w:p w14:paraId="36C49A18" w14:textId="77777777" w:rsidR="00191807" w:rsidRDefault="0019180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imHei">
    <w:altName w:val="黑体"/>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67788171"/>
      <w:docPartObj>
        <w:docPartGallery w:val="Page Numbers (Bottom of Page)"/>
        <w:docPartUnique/>
      </w:docPartObj>
    </w:sdtPr>
    <w:sdtEndPr>
      <w:rPr>
        <w:noProof/>
      </w:rPr>
    </w:sdtEndPr>
    <w:sdtContent>
      <w:p w14:paraId="5576ABD1" w14:textId="04605AD7" w:rsidR="00B675FE" w:rsidRDefault="00B675FE">
        <w:pPr>
          <w:pStyle w:val="Footer"/>
          <w:jc w:val="center"/>
        </w:pPr>
        <w:r>
          <w:rPr>
            <w:color w:val="2B579A"/>
            <w:shd w:val="clear" w:color="auto" w:fill="E6E6E6"/>
          </w:rPr>
          <w:fldChar w:fldCharType="begin"/>
        </w:r>
        <w:r>
          <w:instrText xml:space="preserve"> PAGE   \* MERGEFORMAT </w:instrText>
        </w:r>
        <w:r>
          <w:rPr>
            <w:color w:val="2B579A"/>
            <w:shd w:val="clear" w:color="auto" w:fill="E6E6E6"/>
          </w:rPr>
          <w:fldChar w:fldCharType="separate"/>
        </w:r>
        <w:r w:rsidR="00F835BD">
          <w:rPr>
            <w:noProof/>
          </w:rPr>
          <w:t>1</w:t>
        </w:r>
        <w:r>
          <w:rPr>
            <w:noProof/>
            <w:color w:val="2B579A"/>
            <w:shd w:val="clear" w:color="auto" w:fill="E6E6E6"/>
          </w:rPr>
          <w:fldChar w:fldCharType="end"/>
        </w:r>
      </w:p>
    </w:sdtContent>
  </w:sdt>
  <w:p w14:paraId="44AA5123" w14:textId="77777777" w:rsidR="00B675FE" w:rsidRDefault="00B675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E02632" w14:textId="77777777" w:rsidR="00191807" w:rsidRDefault="00191807" w:rsidP="006D0C96">
      <w:pPr>
        <w:spacing w:line="240" w:lineRule="auto"/>
      </w:pPr>
      <w:r>
        <w:separator/>
      </w:r>
    </w:p>
  </w:footnote>
  <w:footnote w:type="continuationSeparator" w:id="0">
    <w:p w14:paraId="4F65E3ED" w14:textId="77777777" w:rsidR="00191807" w:rsidRDefault="00191807" w:rsidP="006D0C96">
      <w:pPr>
        <w:spacing w:line="240" w:lineRule="auto"/>
      </w:pPr>
      <w:r>
        <w:continuationSeparator/>
      </w:r>
    </w:p>
  </w:footnote>
  <w:footnote w:type="continuationNotice" w:id="1">
    <w:p w14:paraId="16044E6A" w14:textId="77777777" w:rsidR="00191807" w:rsidRDefault="0019180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294403"/>
    <w:multiLevelType w:val="hybridMultilevel"/>
    <w:tmpl w:val="E6ECA0A2"/>
    <w:lvl w:ilvl="0" w:tplc="35A460C0">
      <w:start w:val="1"/>
      <w:numFmt w:val="decimal"/>
      <w:lvlText w:val="%1."/>
      <w:lvlJc w:val="left"/>
      <w:pPr>
        <w:ind w:left="720" w:hanging="360"/>
      </w:pPr>
      <w:rPr>
        <w:rFonts w:ascii="Times New Roman" w:hAnsi="Times New Roman" w:hint="default"/>
        <w:b w:val="0"/>
        <w:i w:val="0"/>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5C01CAC"/>
    <w:multiLevelType w:val="hybridMultilevel"/>
    <w:tmpl w:val="37DE8D22"/>
    <w:lvl w:ilvl="0" w:tplc="579A3D8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7FE1001"/>
    <w:multiLevelType w:val="hybridMultilevel"/>
    <w:tmpl w:val="5D6EA632"/>
    <w:lvl w:ilvl="0" w:tplc="1C4A910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504B16"/>
    <w:multiLevelType w:val="hybridMultilevel"/>
    <w:tmpl w:val="B476A53C"/>
    <w:lvl w:ilvl="0" w:tplc="579A3D8A">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691412"/>
    <w:multiLevelType w:val="hybridMultilevel"/>
    <w:tmpl w:val="791457C8"/>
    <w:lvl w:ilvl="0" w:tplc="E3083794">
      <w:start w:val="1"/>
      <w:numFmt w:val="decimal"/>
      <w:lvlText w:val="%1."/>
      <w:lvlJc w:val="left"/>
      <w:pPr>
        <w:ind w:left="720" w:hanging="360"/>
      </w:pPr>
      <w:rPr>
        <w:rFonts w:hint="default"/>
        <w:sz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3621EB8"/>
    <w:multiLevelType w:val="hybridMultilevel"/>
    <w:tmpl w:val="B3626938"/>
    <w:lvl w:ilvl="0" w:tplc="F29A847E">
      <w:start w:val="1"/>
      <w:numFmt w:val="bullet"/>
      <w:pStyle w:val="Bullets"/>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E1D0DE6"/>
    <w:multiLevelType w:val="hybridMultilevel"/>
    <w:tmpl w:val="AE04560A"/>
    <w:lvl w:ilvl="0" w:tplc="1C4A910C">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DD06254"/>
    <w:multiLevelType w:val="hybridMultilevel"/>
    <w:tmpl w:val="06C2B684"/>
    <w:lvl w:ilvl="0" w:tplc="1C4A910C">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D123DBD"/>
    <w:multiLevelType w:val="hybridMultilevel"/>
    <w:tmpl w:val="5F8AA566"/>
    <w:lvl w:ilvl="0" w:tplc="1C4A910C">
      <w:start w:val="3"/>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3B074D3"/>
    <w:multiLevelType w:val="hybridMultilevel"/>
    <w:tmpl w:val="E4BECD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7B8F7682"/>
    <w:multiLevelType w:val="hybridMultilevel"/>
    <w:tmpl w:val="3F3073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007949111">
    <w:abstractNumId w:val="5"/>
  </w:num>
  <w:num w:numId="2" w16cid:durableId="87502535">
    <w:abstractNumId w:val="5"/>
  </w:num>
  <w:num w:numId="3" w16cid:durableId="726538216">
    <w:abstractNumId w:val="0"/>
  </w:num>
  <w:num w:numId="4" w16cid:durableId="1054309224">
    <w:abstractNumId w:val="1"/>
  </w:num>
  <w:num w:numId="5" w16cid:durableId="117261583">
    <w:abstractNumId w:val="3"/>
  </w:num>
  <w:num w:numId="6" w16cid:durableId="1112479937">
    <w:abstractNumId w:val="10"/>
  </w:num>
  <w:num w:numId="7" w16cid:durableId="1584796068">
    <w:abstractNumId w:val="7"/>
  </w:num>
  <w:num w:numId="8" w16cid:durableId="1657875126">
    <w:abstractNumId w:val="8"/>
  </w:num>
  <w:num w:numId="9" w16cid:durableId="2038265031">
    <w:abstractNumId w:val="2"/>
  </w:num>
  <w:num w:numId="10" w16cid:durableId="677578113">
    <w:abstractNumId w:val="6"/>
  </w:num>
  <w:num w:numId="11" w16cid:durableId="910889419">
    <w:abstractNumId w:val="9"/>
  </w:num>
  <w:num w:numId="12" w16cid:durableId="185965620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2"/>
  <w:proofState w:spelling="clean" w:grammar="clean"/>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2"/>
    <w:compatSetting w:name="useWord2013TrackBottomHyphenation" w:uri="http://schemas.microsoft.com/office/word" w:val="1"/>
  </w:compat>
  <w:rsids>
    <w:rsidRoot w:val="00564213"/>
    <w:rsid w:val="000000D2"/>
    <w:rsid w:val="00003992"/>
    <w:rsid w:val="00007AE1"/>
    <w:rsid w:val="00016105"/>
    <w:rsid w:val="0002018C"/>
    <w:rsid w:val="0002339F"/>
    <w:rsid w:val="000309C4"/>
    <w:rsid w:val="000464C4"/>
    <w:rsid w:val="00052C4D"/>
    <w:rsid w:val="00054149"/>
    <w:rsid w:val="0005690A"/>
    <w:rsid w:val="000601B4"/>
    <w:rsid w:val="000712E5"/>
    <w:rsid w:val="000713F7"/>
    <w:rsid w:val="00075F28"/>
    <w:rsid w:val="0007735C"/>
    <w:rsid w:val="0007746F"/>
    <w:rsid w:val="00077FCA"/>
    <w:rsid w:val="0008383D"/>
    <w:rsid w:val="00083C9A"/>
    <w:rsid w:val="0008A7E7"/>
    <w:rsid w:val="0009000E"/>
    <w:rsid w:val="000A09B5"/>
    <w:rsid w:val="000A0AB7"/>
    <w:rsid w:val="000A0DB0"/>
    <w:rsid w:val="000A1A0F"/>
    <w:rsid w:val="000A1B66"/>
    <w:rsid w:val="000A37A2"/>
    <w:rsid w:val="000A678D"/>
    <w:rsid w:val="000A7185"/>
    <w:rsid w:val="000B1D95"/>
    <w:rsid w:val="000B1EAC"/>
    <w:rsid w:val="000B2335"/>
    <w:rsid w:val="000B2401"/>
    <w:rsid w:val="000B69C4"/>
    <w:rsid w:val="000C1D99"/>
    <w:rsid w:val="000C3A9F"/>
    <w:rsid w:val="000D5CB3"/>
    <w:rsid w:val="000E1E13"/>
    <w:rsid w:val="000E2A39"/>
    <w:rsid w:val="000E52BD"/>
    <w:rsid w:val="000E5B7E"/>
    <w:rsid w:val="000E709F"/>
    <w:rsid w:val="000F085A"/>
    <w:rsid w:val="000F160F"/>
    <w:rsid w:val="000F24AD"/>
    <w:rsid w:val="000F7B14"/>
    <w:rsid w:val="0010167C"/>
    <w:rsid w:val="00101D32"/>
    <w:rsid w:val="00104A50"/>
    <w:rsid w:val="00105137"/>
    <w:rsid w:val="00113253"/>
    <w:rsid w:val="00114373"/>
    <w:rsid w:val="001149BF"/>
    <w:rsid w:val="00122BCB"/>
    <w:rsid w:val="00125FE4"/>
    <w:rsid w:val="001310ED"/>
    <w:rsid w:val="0013651B"/>
    <w:rsid w:val="00142D24"/>
    <w:rsid w:val="001430A6"/>
    <w:rsid w:val="00145ADF"/>
    <w:rsid w:val="00145ED9"/>
    <w:rsid w:val="00152ED4"/>
    <w:rsid w:val="001576D2"/>
    <w:rsid w:val="00163CED"/>
    <w:rsid w:val="00165D54"/>
    <w:rsid w:val="00166140"/>
    <w:rsid w:val="001736AA"/>
    <w:rsid w:val="001761AB"/>
    <w:rsid w:val="00185A34"/>
    <w:rsid w:val="00191807"/>
    <w:rsid w:val="00192B75"/>
    <w:rsid w:val="0019587E"/>
    <w:rsid w:val="00197F0A"/>
    <w:rsid w:val="001A2955"/>
    <w:rsid w:val="001A4EB8"/>
    <w:rsid w:val="001A7A21"/>
    <w:rsid w:val="001B34FD"/>
    <w:rsid w:val="001B4F13"/>
    <w:rsid w:val="001B538A"/>
    <w:rsid w:val="001C4AE6"/>
    <w:rsid w:val="001C5EB9"/>
    <w:rsid w:val="001C779A"/>
    <w:rsid w:val="001D2844"/>
    <w:rsid w:val="001D5011"/>
    <w:rsid w:val="001D580B"/>
    <w:rsid w:val="001D649C"/>
    <w:rsid w:val="001D6719"/>
    <w:rsid w:val="001E475B"/>
    <w:rsid w:val="001E5B95"/>
    <w:rsid w:val="001E6E4F"/>
    <w:rsid w:val="001F3139"/>
    <w:rsid w:val="001F32E8"/>
    <w:rsid w:val="00203F92"/>
    <w:rsid w:val="00204916"/>
    <w:rsid w:val="00210960"/>
    <w:rsid w:val="002109CC"/>
    <w:rsid w:val="00210E43"/>
    <w:rsid w:val="00212BDA"/>
    <w:rsid w:val="00215541"/>
    <w:rsid w:val="00217C80"/>
    <w:rsid w:val="002235B8"/>
    <w:rsid w:val="002317CC"/>
    <w:rsid w:val="00233517"/>
    <w:rsid w:val="00236D0C"/>
    <w:rsid w:val="0024306C"/>
    <w:rsid w:val="002449C0"/>
    <w:rsid w:val="00245E75"/>
    <w:rsid w:val="00247FC3"/>
    <w:rsid w:val="00256D90"/>
    <w:rsid w:val="002573BB"/>
    <w:rsid w:val="002605DA"/>
    <w:rsid w:val="0026370A"/>
    <w:rsid w:val="002640FB"/>
    <w:rsid w:val="00267329"/>
    <w:rsid w:val="0026740E"/>
    <w:rsid w:val="00274069"/>
    <w:rsid w:val="002746FD"/>
    <w:rsid w:val="00277DF1"/>
    <w:rsid w:val="0028264A"/>
    <w:rsid w:val="00290ACF"/>
    <w:rsid w:val="00295CE4"/>
    <w:rsid w:val="002A3E7E"/>
    <w:rsid w:val="002B0351"/>
    <w:rsid w:val="002B1078"/>
    <w:rsid w:val="002B5023"/>
    <w:rsid w:val="002B5EAF"/>
    <w:rsid w:val="002B7E28"/>
    <w:rsid w:val="002C0618"/>
    <w:rsid w:val="002C290A"/>
    <w:rsid w:val="002C2A55"/>
    <w:rsid w:val="002C2FFF"/>
    <w:rsid w:val="002C6A70"/>
    <w:rsid w:val="002C70AD"/>
    <w:rsid w:val="002C7D8E"/>
    <w:rsid w:val="002D316C"/>
    <w:rsid w:val="002D345C"/>
    <w:rsid w:val="002D6BC2"/>
    <w:rsid w:val="002E6F6A"/>
    <w:rsid w:val="002E6FCE"/>
    <w:rsid w:val="002F056F"/>
    <w:rsid w:val="002F0792"/>
    <w:rsid w:val="002F362B"/>
    <w:rsid w:val="002F58FE"/>
    <w:rsid w:val="002F778E"/>
    <w:rsid w:val="00304BAC"/>
    <w:rsid w:val="00304DC5"/>
    <w:rsid w:val="00305976"/>
    <w:rsid w:val="003118C8"/>
    <w:rsid w:val="00312980"/>
    <w:rsid w:val="00320B6E"/>
    <w:rsid w:val="00321D1B"/>
    <w:rsid w:val="0032388C"/>
    <w:rsid w:val="00323D93"/>
    <w:rsid w:val="00331208"/>
    <w:rsid w:val="0033340C"/>
    <w:rsid w:val="00334D47"/>
    <w:rsid w:val="003354FA"/>
    <w:rsid w:val="00335FEE"/>
    <w:rsid w:val="00340931"/>
    <w:rsid w:val="003453CC"/>
    <w:rsid w:val="003503B5"/>
    <w:rsid w:val="00352E63"/>
    <w:rsid w:val="0035386D"/>
    <w:rsid w:val="0036653E"/>
    <w:rsid w:val="00366AB0"/>
    <w:rsid w:val="00366B01"/>
    <w:rsid w:val="00367654"/>
    <w:rsid w:val="00367CD3"/>
    <w:rsid w:val="00370636"/>
    <w:rsid w:val="0037188E"/>
    <w:rsid w:val="00376DF9"/>
    <w:rsid w:val="00390017"/>
    <w:rsid w:val="003922B4"/>
    <w:rsid w:val="00395CD2"/>
    <w:rsid w:val="00396497"/>
    <w:rsid w:val="00397BD5"/>
    <w:rsid w:val="003A4FB4"/>
    <w:rsid w:val="003B170B"/>
    <w:rsid w:val="003B6526"/>
    <w:rsid w:val="003C2F87"/>
    <w:rsid w:val="003D0F6C"/>
    <w:rsid w:val="003D5288"/>
    <w:rsid w:val="003E10A8"/>
    <w:rsid w:val="003E189A"/>
    <w:rsid w:val="003E2798"/>
    <w:rsid w:val="003E59A2"/>
    <w:rsid w:val="003F0C01"/>
    <w:rsid w:val="003F5B2C"/>
    <w:rsid w:val="003F7D4D"/>
    <w:rsid w:val="00403075"/>
    <w:rsid w:val="00405139"/>
    <w:rsid w:val="00407D66"/>
    <w:rsid w:val="00410788"/>
    <w:rsid w:val="0042012B"/>
    <w:rsid w:val="00424FE3"/>
    <w:rsid w:val="00427099"/>
    <w:rsid w:val="00427C5E"/>
    <w:rsid w:val="004341CF"/>
    <w:rsid w:val="004351F9"/>
    <w:rsid w:val="004366A8"/>
    <w:rsid w:val="00442C31"/>
    <w:rsid w:val="00443E09"/>
    <w:rsid w:val="00450DB9"/>
    <w:rsid w:val="0046223B"/>
    <w:rsid w:val="00463568"/>
    <w:rsid w:val="004645E5"/>
    <w:rsid w:val="00465F28"/>
    <w:rsid w:val="00471B96"/>
    <w:rsid w:val="004720E1"/>
    <w:rsid w:val="0047453F"/>
    <w:rsid w:val="004746C9"/>
    <w:rsid w:val="004854C1"/>
    <w:rsid w:val="00490F17"/>
    <w:rsid w:val="0049445D"/>
    <w:rsid w:val="00497099"/>
    <w:rsid w:val="00497E5D"/>
    <w:rsid w:val="004A1C3C"/>
    <w:rsid w:val="004A7A91"/>
    <w:rsid w:val="004B2D31"/>
    <w:rsid w:val="004B2D75"/>
    <w:rsid w:val="004C06FA"/>
    <w:rsid w:val="004C7880"/>
    <w:rsid w:val="004D0F1A"/>
    <w:rsid w:val="004D4018"/>
    <w:rsid w:val="004D4FF8"/>
    <w:rsid w:val="004D6957"/>
    <w:rsid w:val="004D7486"/>
    <w:rsid w:val="004E1C11"/>
    <w:rsid w:val="004E5D76"/>
    <w:rsid w:val="004F01EA"/>
    <w:rsid w:val="004F2721"/>
    <w:rsid w:val="004F33C7"/>
    <w:rsid w:val="004F783F"/>
    <w:rsid w:val="00500FA8"/>
    <w:rsid w:val="00502CBB"/>
    <w:rsid w:val="005041CA"/>
    <w:rsid w:val="0050436F"/>
    <w:rsid w:val="00516D44"/>
    <w:rsid w:val="00522587"/>
    <w:rsid w:val="005227B8"/>
    <w:rsid w:val="00530B5F"/>
    <w:rsid w:val="00530D14"/>
    <w:rsid w:val="00530D2C"/>
    <w:rsid w:val="00534D1E"/>
    <w:rsid w:val="0055217B"/>
    <w:rsid w:val="00554318"/>
    <w:rsid w:val="00554ECF"/>
    <w:rsid w:val="005640A0"/>
    <w:rsid w:val="00564213"/>
    <w:rsid w:val="00565535"/>
    <w:rsid w:val="00565790"/>
    <w:rsid w:val="00571C25"/>
    <w:rsid w:val="00572A8B"/>
    <w:rsid w:val="00573068"/>
    <w:rsid w:val="005763AC"/>
    <w:rsid w:val="005763B5"/>
    <w:rsid w:val="005805CC"/>
    <w:rsid w:val="00580B56"/>
    <w:rsid w:val="0059044D"/>
    <w:rsid w:val="00590627"/>
    <w:rsid w:val="0059577B"/>
    <w:rsid w:val="00595EDF"/>
    <w:rsid w:val="005969DB"/>
    <w:rsid w:val="0059720B"/>
    <w:rsid w:val="005A4C29"/>
    <w:rsid w:val="005A4F32"/>
    <w:rsid w:val="005C280C"/>
    <w:rsid w:val="005C3ADF"/>
    <w:rsid w:val="005C65AD"/>
    <w:rsid w:val="005C6F62"/>
    <w:rsid w:val="005D154B"/>
    <w:rsid w:val="005D3CCA"/>
    <w:rsid w:val="005D473D"/>
    <w:rsid w:val="005D5E72"/>
    <w:rsid w:val="005F2452"/>
    <w:rsid w:val="005F3F60"/>
    <w:rsid w:val="005F7147"/>
    <w:rsid w:val="005F7508"/>
    <w:rsid w:val="00603AEB"/>
    <w:rsid w:val="006124F9"/>
    <w:rsid w:val="00613B07"/>
    <w:rsid w:val="006167F7"/>
    <w:rsid w:val="00617DCF"/>
    <w:rsid w:val="0061944C"/>
    <w:rsid w:val="00622C67"/>
    <w:rsid w:val="00625825"/>
    <w:rsid w:val="006326D7"/>
    <w:rsid w:val="00636496"/>
    <w:rsid w:val="00636F09"/>
    <w:rsid w:val="00636FFA"/>
    <w:rsid w:val="00637B0B"/>
    <w:rsid w:val="006514BA"/>
    <w:rsid w:val="0067025A"/>
    <w:rsid w:val="00670A0A"/>
    <w:rsid w:val="00670F05"/>
    <w:rsid w:val="006752F5"/>
    <w:rsid w:val="0067605B"/>
    <w:rsid w:val="00683CCD"/>
    <w:rsid w:val="00685B83"/>
    <w:rsid w:val="00685C86"/>
    <w:rsid w:val="00694468"/>
    <w:rsid w:val="006975CB"/>
    <w:rsid w:val="006A39B8"/>
    <w:rsid w:val="006B2C27"/>
    <w:rsid w:val="006B33B0"/>
    <w:rsid w:val="006C08E0"/>
    <w:rsid w:val="006C1394"/>
    <w:rsid w:val="006C183C"/>
    <w:rsid w:val="006C404C"/>
    <w:rsid w:val="006C4980"/>
    <w:rsid w:val="006C5822"/>
    <w:rsid w:val="006D0C96"/>
    <w:rsid w:val="006D10D0"/>
    <w:rsid w:val="006DECA0"/>
    <w:rsid w:val="006E17C3"/>
    <w:rsid w:val="006E22D9"/>
    <w:rsid w:val="006E339B"/>
    <w:rsid w:val="006E347E"/>
    <w:rsid w:val="006E57E2"/>
    <w:rsid w:val="006F3405"/>
    <w:rsid w:val="006F5AA4"/>
    <w:rsid w:val="006F77FF"/>
    <w:rsid w:val="00700225"/>
    <w:rsid w:val="00702035"/>
    <w:rsid w:val="00703434"/>
    <w:rsid w:val="007036B0"/>
    <w:rsid w:val="0070537F"/>
    <w:rsid w:val="00706B00"/>
    <w:rsid w:val="00706FFE"/>
    <w:rsid w:val="0070783F"/>
    <w:rsid w:val="007108A6"/>
    <w:rsid w:val="00713818"/>
    <w:rsid w:val="00717241"/>
    <w:rsid w:val="00721D73"/>
    <w:rsid w:val="00726AE9"/>
    <w:rsid w:val="007279C7"/>
    <w:rsid w:val="00727B80"/>
    <w:rsid w:val="0073166C"/>
    <w:rsid w:val="007404FE"/>
    <w:rsid w:val="00743A21"/>
    <w:rsid w:val="00745E16"/>
    <w:rsid w:val="00751A44"/>
    <w:rsid w:val="00754DB2"/>
    <w:rsid w:val="007636F2"/>
    <w:rsid w:val="00764FE3"/>
    <w:rsid w:val="0077319F"/>
    <w:rsid w:val="007808B2"/>
    <w:rsid w:val="007810F2"/>
    <w:rsid w:val="00782ECB"/>
    <w:rsid w:val="00783E55"/>
    <w:rsid w:val="00784209"/>
    <w:rsid w:val="00790DFD"/>
    <w:rsid w:val="00791C9E"/>
    <w:rsid w:val="00792442"/>
    <w:rsid w:val="00792D1D"/>
    <w:rsid w:val="00796A78"/>
    <w:rsid w:val="00796A7F"/>
    <w:rsid w:val="007A432B"/>
    <w:rsid w:val="007A4505"/>
    <w:rsid w:val="007B18ED"/>
    <w:rsid w:val="007B4992"/>
    <w:rsid w:val="007B504A"/>
    <w:rsid w:val="007B71C7"/>
    <w:rsid w:val="007E4CB8"/>
    <w:rsid w:val="007E6C0D"/>
    <w:rsid w:val="007F3618"/>
    <w:rsid w:val="007F714C"/>
    <w:rsid w:val="008001C4"/>
    <w:rsid w:val="00802182"/>
    <w:rsid w:val="00802B81"/>
    <w:rsid w:val="00803A5B"/>
    <w:rsid w:val="00811D98"/>
    <w:rsid w:val="00811EFA"/>
    <w:rsid w:val="00822226"/>
    <w:rsid w:val="0082439B"/>
    <w:rsid w:val="008243E5"/>
    <w:rsid w:val="00825917"/>
    <w:rsid w:val="00826138"/>
    <w:rsid w:val="00844084"/>
    <w:rsid w:val="008445A5"/>
    <w:rsid w:val="00855006"/>
    <w:rsid w:val="00855EE0"/>
    <w:rsid w:val="00857ECE"/>
    <w:rsid w:val="008614B5"/>
    <w:rsid w:val="00873E4D"/>
    <w:rsid w:val="00876520"/>
    <w:rsid w:val="00876F38"/>
    <w:rsid w:val="008933C8"/>
    <w:rsid w:val="00895F48"/>
    <w:rsid w:val="008A0EEE"/>
    <w:rsid w:val="008A428A"/>
    <w:rsid w:val="008A7B38"/>
    <w:rsid w:val="008B3269"/>
    <w:rsid w:val="008B7173"/>
    <w:rsid w:val="008B719F"/>
    <w:rsid w:val="008C126A"/>
    <w:rsid w:val="008C1595"/>
    <w:rsid w:val="008C15F3"/>
    <w:rsid w:val="008C2D5B"/>
    <w:rsid w:val="008D72BF"/>
    <w:rsid w:val="008E213F"/>
    <w:rsid w:val="008E2834"/>
    <w:rsid w:val="008E3110"/>
    <w:rsid w:val="008F00FC"/>
    <w:rsid w:val="008F15EF"/>
    <w:rsid w:val="00906D9A"/>
    <w:rsid w:val="00911ACF"/>
    <w:rsid w:val="00911DBD"/>
    <w:rsid w:val="00912E00"/>
    <w:rsid w:val="009139F9"/>
    <w:rsid w:val="009150E4"/>
    <w:rsid w:val="0091791F"/>
    <w:rsid w:val="00924130"/>
    <w:rsid w:val="009254D0"/>
    <w:rsid w:val="00932F15"/>
    <w:rsid w:val="00941692"/>
    <w:rsid w:val="00943440"/>
    <w:rsid w:val="009456AB"/>
    <w:rsid w:val="00950E3B"/>
    <w:rsid w:val="00954C8F"/>
    <w:rsid w:val="00954F6D"/>
    <w:rsid w:val="0095508B"/>
    <w:rsid w:val="00955CB9"/>
    <w:rsid w:val="0095614B"/>
    <w:rsid w:val="00956B6A"/>
    <w:rsid w:val="00971D08"/>
    <w:rsid w:val="00971E95"/>
    <w:rsid w:val="009747C0"/>
    <w:rsid w:val="0097B118"/>
    <w:rsid w:val="009805EF"/>
    <w:rsid w:val="0098A1A4"/>
    <w:rsid w:val="00991FCD"/>
    <w:rsid w:val="00993657"/>
    <w:rsid w:val="009961C0"/>
    <w:rsid w:val="009A04C5"/>
    <w:rsid w:val="009A173C"/>
    <w:rsid w:val="009A4A70"/>
    <w:rsid w:val="009B432E"/>
    <w:rsid w:val="009B5DB8"/>
    <w:rsid w:val="009B6C23"/>
    <w:rsid w:val="009B6D81"/>
    <w:rsid w:val="009C66DB"/>
    <w:rsid w:val="009C6EBA"/>
    <w:rsid w:val="009D358B"/>
    <w:rsid w:val="009D38E2"/>
    <w:rsid w:val="009D4213"/>
    <w:rsid w:val="009E4413"/>
    <w:rsid w:val="009E6B28"/>
    <w:rsid w:val="009F2800"/>
    <w:rsid w:val="009F2C0A"/>
    <w:rsid w:val="009F38DE"/>
    <w:rsid w:val="009F4D6A"/>
    <w:rsid w:val="00A00A72"/>
    <w:rsid w:val="00A037EB"/>
    <w:rsid w:val="00A07A7B"/>
    <w:rsid w:val="00A118DA"/>
    <w:rsid w:val="00A11C36"/>
    <w:rsid w:val="00A12AD2"/>
    <w:rsid w:val="00A16D1B"/>
    <w:rsid w:val="00A16E55"/>
    <w:rsid w:val="00A177A4"/>
    <w:rsid w:val="00A20A3C"/>
    <w:rsid w:val="00A20E80"/>
    <w:rsid w:val="00A21B89"/>
    <w:rsid w:val="00A21D41"/>
    <w:rsid w:val="00A26B01"/>
    <w:rsid w:val="00A374B7"/>
    <w:rsid w:val="00A37956"/>
    <w:rsid w:val="00A400CB"/>
    <w:rsid w:val="00A43F0E"/>
    <w:rsid w:val="00A46FA8"/>
    <w:rsid w:val="00A532F4"/>
    <w:rsid w:val="00A5633B"/>
    <w:rsid w:val="00A57FD4"/>
    <w:rsid w:val="00A6257F"/>
    <w:rsid w:val="00A6560A"/>
    <w:rsid w:val="00A66705"/>
    <w:rsid w:val="00A72EF2"/>
    <w:rsid w:val="00A74EB4"/>
    <w:rsid w:val="00A7658A"/>
    <w:rsid w:val="00A842A4"/>
    <w:rsid w:val="00A85CEE"/>
    <w:rsid w:val="00A92B7C"/>
    <w:rsid w:val="00A94329"/>
    <w:rsid w:val="00A948EE"/>
    <w:rsid w:val="00AA35C1"/>
    <w:rsid w:val="00AA6257"/>
    <w:rsid w:val="00AB4989"/>
    <w:rsid w:val="00AC73FA"/>
    <w:rsid w:val="00AD33CE"/>
    <w:rsid w:val="00AD7007"/>
    <w:rsid w:val="00AE3BFB"/>
    <w:rsid w:val="00AE4157"/>
    <w:rsid w:val="00AE6F4D"/>
    <w:rsid w:val="00AF0FD1"/>
    <w:rsid w:val="00AF2314"/>
    <w:rsid w:val="00AF4425"/>
    <w:rsid w:val="00AF48AA"/>
    <w:rsid w:val="00AF5364"/>
    <w:rsid w:val="00AF5CC1"/>
    <w:rsid w:val="00B02453"/>
    <w:rsid w:val="00B04DE5"/>
    <w:rsid w:val="00B06E54"/>
    <w:rsid w:val="00B14289"/>
    <w:rsid w:val="00B169BE"/>
    <w:rsid w:val="00B21D32"/>
    <w:rsid w:val="00B30747"/>
    <w:rsid w:val="00B35294"/>
    <w:rsid w:val="00B36781"/>
    <w:rsid w:val="00B4015F"/>
    <w:rsid w:val="00B41CCE"/>
    <w:rsid w:val="00B42049"/>
    <w:rsid w:val="00B42A1B"/>
    <w:rsid w:val="00B451A8"/>
    <w:rsid w:val="00B45DBE"/>
    <w:rsid w:val="00B45FF7"/>
    <w:rsid w:val="00B47FA3"/>
    <w:rsid w:val="00B51B3E"/>
    <w:rsid w:val="00B52FEB"/>
    <w:rsid w:val="00B53591"/>
    <w:rsid w:val="00B5719D"/>
    <w:rsid w:val="00B575AE"/>
    <w:rsid w:val="00B60CC9"/>
    <w:rsid w:val="00B6315E"/>
    <w:rsid w:val="00B6382B"/>
    <w:rsid w:val="00B675FE"/>
    <w:rsid w:val="00B708D4"/>
    <w:rsid w:val="00B75342"/>
    <w:rsid w:val="00B80AE2"/>
    <w:rsid w:val="00B8206D"/>
    <w:rsid w:val="00B83113"/>
    <w:rsid w:val="00B83F9C"/>
    <w:rsid w:val="00B91464"/>
    <w:rsid w:val="00B93540"/>
    <w:rsid w:val="00B94A58"/>
    <w:rsid w:val="00B95707"/>
    <w:rsid w:val="00BA037B"/>
    <w:rsid w:val="00BA0494"/>
    <w:rsid w:val="00BA1FF4"/>
    <w:rsid w:val="00BC60D4"/>
    <w:rsid w:val="00BC77B5"/>
    <w:rsid w:val="00BD0523"/>
    <w:rsid w:val="00BD297B"/>
    <w:rsid w:val="00BD3802"/>
    <w:rsid w:val="00BD56A0"/>
    <w:rsid w:val="00BD7619"/>
    <w:rsid w:val="00BE1FBB"/>
    <w:rsid w:val="00BF12CF"/>
    <w:rsid w:val="00BF2DFB"/>
    <w:rsid w:val="00C00585"/>
    <w:rsid w:val="00C0701A"/>
    <w:rsid w:val="00C100A6"/>
    <w:rsid w:val="00C14726"/>
    <w:rsid w:val="00C15613"/>
    <w:rsid w:val="00C1589F"/>
    <w:rsid w:val="00C21818"/>
    <w:rsid w:val="00C26311"/>
    <w:rsid w:val="00C309B4"/>
    <w:rsid w:val="00C3577C"/>
    <w:rsid w:val="00C35812"/>
    <w:rsid w:val="00C40701"/>
    <w:rsid w:val="00C40DEC"/>
    <w:rsid w:val="00C41ABE"/>
    <w:rsid w:val="00C42518"/>
    <w:rsid w:val="00C438C1"/>
    <w:rsid w:val="00C4411C"/>
    <w:rsid w:val="00C444FF"/>
    <w:rsid w:val="00C4510A"/>
    <w:rsid w:val="00C456C1"/>
    <w:rsid w:val="00C51B16"/>
    <w:rsid w:val="00C52C9D"/>
    <w:rsid w:val="00C53D25"/>
    <w:rsid w:val="00C55F2B"/>
    <w:rsid w:val="00C67830"/>
    <w:rsid w:val="00C67C94"/>
    <w:rsid w:val="00C71EF6"/>
    <w:rsid w:val="00C82F79"/>
    <w:rsid w:val="00C853AB"/>
    <w:rsid w:val="00C9135A"/>
    <w:rsid w:val="00C94F9C"/>
    <w:rsid w:val="00CA0AEA"/>
    <w:rsid w:val="00CB0434"/>
    <w:rsid w:val="00CB2F85"/>
    <w:rsid w:val="00CB705D"/>
    <w:rsid w:val="00CC1132"/>
    <w:rsid w:val="00CC51D0"/>
    <w:rsid w:val="00CD4754"/>
    <w:rsid w:val="00CE4FC6"/>
    <w:rsid w:val="00CE611A"/>
    <w:rsid w:val="00CF01A8"/>
    <w:rsid w:val="00CF71C7"/>
    <w:rsid w:val="00D017DE"/>
    <w:rsid w:val="00D10141"/>
    <w:rsid w:val="00D10A7C"/>
    <w:rsid w:val="00D139BB"/>
    <w:rsid w:val="00D202BE"/>
    <w:rsid w:val="00D22E54"/>
    <w:rsid w:val="00D32905"/>
    <w:rsid w:val="00D40CE0"/>
    <w:rsid w:val="00D42BA0"/>
    <w:rsid w:val="00D45703"/>
    <w:rsid w:val="00D51336"/>
    <w:rsid w:val="00D604DE"/>
    <w:rsid w:val="00D71094"/>
    <w:rsid w:val="00D7697C"/>
    <w:rsid w:val="00D77B02"/>
    <w:rsid w:val="00D85AEE"/>
    <w:rsid w:val="00D90155"/>
    <w:rsid w:val="00D90DE9"/>
    <w:rsid w:val="00D922D3"/>
    <w:rsid w:val="00D9454C"/>
    <w:rsid w:val="00D97347"/>
    <w:rsid w:val="00DB4E53"/>
    <w:rsid w:val="00DB65D8"/>
    <w:rsid w:val="00DC1202"/>
    <w:rsid w:val="00DC52B6"/>
    <w:rsid w:val="00DD21BC"/>
    <w:rsid w:val="00DD4488"/>
    <w:rsid w:val="00DD545A"/>
    <w:rsid w:val="00DE115C"/>
    <w:rsid w:val="00DE1596"/>
    <w:rsid w:val="00DE18A2"/>
    <w:rsid w:val="00DE27A4"/>
    <w:rsid w:val="00DF21A9"/>
    <w:rsid w:val="00DF4572"/>
    <w:rsid w:val="00E00339"/>
    <w:rsid w:val="00E04DA8"/>
    <w:rsid w:val="00E076FE"/>
    <w:rsid w:val="00E142A8"/>
    <w:rsid w:val="00E143CF"/>
    <w:rsid w:val="00E324C8"/>
    <w:rsid w:val="00E32658"/>
    <w:rsid w:val="00E33FD4"/>
    <w:rsid w:val="00E35C2C"/>
    <w:rsid w:val="00E36170"/>
    <w:rsid w:val="00E36DD0"/>
    <w:rsid w:val="00E43C59"/>
    <w:rsid w:val="00E44D8E"/>
    <w:rsid w:val="00E619CF"/>
    <w:rsid w:val="00E64501"/>
    <w:rsid w:val="00E72D4D"/>
    <w:rsid w:val="00E8628B"/>
    <w:rsid w:val="00E9082F"/>
    <w:rsid w:val="00E9201B"/>
    <w:rsid w:val="00EA0578"/>
    <w:rsid w:val="00EA410B"/>
    <w:rsid w:val="00EA4FDC"/>
    <w:rsid w:val="00EA510F"/>
    <w:rsid w:val="00EA717E"/>
    <w:rsid w:val="00EB2DB7"/>
    <w:rsid w:val="00EB3062"/>
    <w:rsid w:val="00EB5808"/>
    <w:rsid w:val="00EB7F96"/>
    <w:rsid w:val="00EC2965"/>
    <w:rsid w:val="00EC408F"/>
    <w:rsid w:val="00EC71BB"/>
    <w:rsid w:val="00ED2AFF"/>
    <w:rsid w:val="00ED2B41"/>
    <w:rsid w:val="00ED3891"/>
    <w:rsid w:val="00ED55DE"/>
    <w:rsid w:val="00ED6B96"/>
    <w:rsid w:val="00EE46DD"/>
    <w:rsid w:val="00EE58C0"/>
    <w:rsid w:val="00EE5995"/>
    <w:rsid w:val="00EF0428"/>
    <w:rsid w:val="00EF7D66"/>
    <w:rsid w:val="00F01B51"/>
    <w:rsid w:val="00F04AAC"/>
    <w:rsid w:val="00F06659"/>
    <w:rsid w:val="00F10826"/>
    <w:rsid w:val="00F206F1"/>
    <w:rsid w:val="00F23E9A"/>
    <w:rsid w:val="00F25D85"/>
    <w:rsid w:val="00F30AF6"/>
    <w:rsid w:val="00F317A2"/>
    <w:rsid w:val="00F32FE6"/>
    <w:rsid w:val="00F33F26"/>
    <w:rsid w:val="00F35903"/>
    <w:rsid w:val="00F430BD"/>
    <w:rsid w:val="00F463FD"/>
    <w:rsid w:val="00F503C9"/>
    <w:rsid w:val="00F512A5"/>
    <w:rsid w:val="00F52377"/>
    <w:rsid w:val="00F5258E"/>
    <w:rsid w:val="00F64C9C"/>
    <w:rsid w:val="00F659DC"/>
    <w:rsid w:val="00F67C51"/>
    <w:rsid w:val="00F7003F"/>
    <w:rsid w:val="00F70F83"/>
    <w:rsid w:val="00F71E39"/>
    <w:rsid w:val="00F773FC"/>
    <w:rsid w:val="00F835BD"/>
    <w:rsid w:val="00F8416E"/>
    <w:rsid w:val="00F85943"/>
    <w:rsid w:val="00F877DA"/>
    <w:rsid w:val="00F90FE9"/>
    <w:rsid w:val="00F91EEF"/>
    <w:rsid w:val="00F9413D"/>
    <w:rsid w:val="00F959F3"/>
    <w:rsid w:val="00F96953"/>
    <w:rsid w:val="00F9698C"/>
    <w:rsid w:val="00FA38D6"/>
    <w:rsid w:val="00FA6CF1"/>
    <w:rsid w:val="00FB36BD"/>
    <w:rsid w:val="00FB41F6"/>
    <w:rsid w:val="00FB5A09"/>
    <w:rsid w:val="00FB5A5C"/>
    <w:rsid w:val="00FC0961"/>
    <w:rsid w:val="00FC2601"/>
    <w:rsid w:val="00FC356E"/>
    <w:rsid w:val="00FC4CCD"/>
    <w:rsid w:val="00FC4DD8"/>
    <w:rsid w:val="00FC6527"/>
    <w:rsid w:val="00FC7208"/>
    <w:rsid w:val="00FD06C5"/>
    <w:rsid w:val="00FD1EDE"/>
    <w:rsid w:val="00FD3AF8"/>
    <w:rsid w:val="00FD69AD"/>
    <w:rsid w:val="00FE169B"/>
    <w:rsid w:val="00FE2522"/>
    <w:rsid w:val="00FE57B8"/>
    <w:rsid w:val="00FE6361"/>
    <w:rsid w:val="00FF140C"/>
    <w:rsid w:val="00FF26A1"/>
    <w:rsid w:val="00FF308B"/>
    <w:rsid w:val="00FF39AA"/>
    <w:rsid w:val="0124BD32"/>
    <w:rsid w:val="0145BA17"/>
    <w:rsid w:val="01742002"/>
    <w:rsid w:val="01B95437"/>
    <w:rsid w:val="01F01E21"/>
    <w:rsid w:val="0287BA06"/>
    <w:rsid w:val="02ED3296"/>
    <w:rsid w:val="03062E89"/>
    <w:rsid w:val="03680C7B"/>
    <w:rsid w:val="0380FBBB"/>
    <w:rsid w:val="03D54D6B"/>
    <w:rsid w:val="03EF28E2"/>
    <w:rsid w:val="05F87339"/>
    <w:rsid w:val="065FEB29"/>
    <w:rsid w:val="06BC3FDA"/>
    <w:rsid w:val="06C82AB0"/>
    <w:rsid w:val="085FE0F2"/>
    <w:rsid w:val="0919B6E0"/>
    <w:rsid w:val="09656465"/>
    <w:rsid w:val="098366E5"/>
    <w:rsid w:val="09862208"/>
    <w:rsid w:val="09B5747F"/>
    <w:rsid w:val="09F914C2"/>
    <w:rsid w:val="0A08BB1E"/>
    <w:rsid w:val="0A162868"/>
    <w:rsid w:val="0AC80BF9"/>
    <w:rsid w:val="0B636E2E"/>
    <w:rsid w:val="0B7C968B"/>
    <w:rsid w:val="0BD1A158"/>
    <w:rsid w:val="0BEAFB8B"/>
    <w:rsid w:val="0C09FE97"/>
    <w:rsid w:val="0C1D6CBB"/>
    <w:rsid w:val="0D5C51E4"/>
    <w:rsid w:val="0D97DB9A"/>
    <w:rsid w:val="0DD624D9"/>
    <w:rsid w:val="0DFFDC33"/>
    <w:rsid w:val="0E7C0D14"/>
    <w:rsid w:val="0F814457"/>
    <w:rsid w:val="0FB2AE22"/>
    <w:rsid w:val="10C50406"/>
    <w:rsid w:val="10E51D3C"/>
    <w:rsid w:val="11410C03"/>
    <w:rsid w:val="118E1064"/>
    <w:rsid w:val="11A28861"/>
    <w:rsid w:val="121C9A42"/>
    <w:rsid w:val="124902D2"/>
    <w:rsid w:val="12B4BDEF"/>
    <w:rsid w:val="12DDFC96"/>
    <w:rsid w:val="139F53D3"/>
    <w:rsid w:val="13CA7450"/>
    <w:rsid w:val="141610D7"/>
    <w:rsid w:val="142CC710"/>
    <w:rsid w:val="1468C737"/>
    <w:rsid w:val="14D3DE1C"/>
    <w:rsid w:val="151E8ACD"/>
    <w:rsid w:val="15874196"/>
    <w:rsid w:val="16376FEB"/>
    <w:rsid w:val="165BE09B"/>
    <w:rsid w:val="1690351A"/>
    <w:rsid w:val="16A12E88"/>
    <w:rsid w:val="16D6FF6E"/>
    <w:rsid w:val="172508CE"/>
    <w:rsid w:val="17906B9D"/>
    <w:rsid w:val="1805B1AE"/>
    <w:rsid w:val="189629C2"/>
    <w:rsid w:val="18CF0A33"/>
    <w:rsid w:val="18E981FA"/>
    <w:rsid w:val="1920B292"/>
    <w:rsid w:val="198F27EB"/>
    <w:rsid w:val="1A4D150B"/>
    <w:rsid w:val="1A6CAFA2"/>
    <w:rsid w:val="1A6EBAAF"/>
    <w:rsid w:val="1AA7318C"/>
    <w:rsid w:val="1AF7DE44"/>
    <w:rsid w:val="1B2A93AB"/>
    <w:rsid w:val="1C0025D7"/>
    <w:rsid w:val="1C59BB15"/>
    <w:rsid w:val="1CEC95BE"/>
    <w:rsid w:val="1D3A22E8"/>
    <w:rsid w:val="1D499311"/>
    <w:rsid w:val="1E2D1EA9"/>
    <w:rsid w:val="1ED8A755"/>
    <w:rsid w:val="1EFD3DDF"/>
    <w:rsid w:val="1F17DE00"/>
    <w:rsid w:val="1F27536A"/>
    <w:rsid w:val="1F317711"/>
    <w:rsid w:val="1F9D1B39"/>
    <w:rsid w:val="202543F3"/>
    <w:rsid w:val="2026AC2C"/>
    <w:rsid w:val="20AF9445"/>
    <w:rsid w:val="2105C772"/>
    <w:rsid w:val="22054411"/>
    <w:rsid w:val="22FF79B6"/>
    <w:rsid w:val="231CE1D4"/>
    <w:rsid w:val="238345C8"/>
    <w:rsid w:val="23D6C024"/>
    <w:rsid w:val="23DDF082"/>
    <w:rsid w:val="245DB0D0"/>
    <w:rsid w:val="24847C73"/>
    <w:rsid w:val="248A4CA9"/>
    <w:rsid w:val="24E888C1"/>
    <w:rsid w:val="24F93838"/>
    <w:rsid w:val="26217CC0"/>
    <w:rsid w:val="26570311"/>
    <w:rsid w:val="26A99112"/>
    <w:rsid w:val="26B9D653"/>
    <w:rsid w:val="26DB7114"/>
    <w:rsid w:val="26F6A8D7"/>
    <w:rsid w:val="2745DAED"/>
    <w:rsid w:val="27576AB3"/>
    <w:rsid w:val="27655537"/>
    <w:rsid w:val="27AA7FE3"/>
    <w:rsid w:val="27ECF343"/>
    <w:rsid w:val="2A77EA65"/>
    <w:rsid w:val="2B6AC7EE"/>
    <w:rsid w:val="2BDF618E"/>
    <w:rsid w:val="2BFE4E8E"/>
    <w:rsid w:val="2C0B7F97"/>
    <w:rsid w:val="2C6A5058"/>
    <w:rsid w:val="2C7E4B15"/>
    <w:rsid w:val="2C83722C"/>
    <w:rsid w:val="2CE953AF"/>
    <w:rsid w:val="2CF85EE2"/>
    <w:rsid w:val="2D8E4D18"/>
    <w:rsid w:val="2DD508DC"/>
    <w:rsid w:val="2DE51B70"/>
    <w:rsid w:val="2F3863CD"/>
    <w:rsid w:val="2F915032"/>
    <w:rsid w:val="2FB35EC2"/>
    <w:rsid w:val="2FE5B919"/>
    <w:rsid w:val="3015E706"/>
    <w:rsid w:val="317B4C80"/>
    <w:rsid w:val="32A075E3"/>
    <w:rsid w:val="32A86B45"/>
    <w:rsid w:val="333F8733"/>
    <w:rsid w:val="3359657F"/>
    <w:rsid w:val="342A452B"/>
    <w:rsid w:val="3454EB46"/>
    <w:rsid w:val="34F98E9F"/>
    <w:rsid w:val="354F1670"/>
    <w:rsid w:val="35CD4F43"/>
    <w:rsid w:val="35D6B8EB"/>
    <w:rsid w:val="35F297F9"/>
    <w:rsid w:val="3617EB6C"/>
    <w:rsid w:val="36FB7D66"/>
    <w:rsid w:val="36FD9DDD"/>
    <w:rsid w:val="3703F972"/>
    <w:rsid w:val="377D6FFF"/>
    <w:rsid w:val="37966A40"/>
    <w:rsid w:val="37C8A30F"/>
    <w:rsid w:val="387E74E1"/>
    <w:rsid w:val="38D201DB"/>
    <w:rsid w:val="3900AF5D"/>
    <w:rsid w:val="3931BF0A"/>
    <w:rsid w:val="3957D519"/>
    <w:rsid w:val="396B2AC2"/>
    <w:rsid w:val="39756D38"/>
    <w:rsid w:val="39E1B9FE"/>
    <w:rsid w:val="3A1C1642"/>
    <w:rsid w:val="3A709F0F"/>
    <w:rsid w:val="3B6F1D0F"/>
    <w:rsid w:val="3BE3C97A"/>
    <w:rsid w:val="3DB306E6"/>
    <w:rsid w:val="3DC0FB61"/>
    <w:rsid w:val="3DCC9F06"/>
    <w:rsid w:val="3DEDE4E6"/>
    <w:rsid w:val="3F044FB7"/>
    <w:rsid w:val="3FD00ADA"/>
    <w:rsid w:val="40168BD8"/>
    <w:rsid w:val="40DA25BF"/>
    <w:rsid w:val="410CAE96"/>
    <w:rsid w:val="41E87F7B"/>
    <w:rsid w:val="42438CE2"/>
    <w:rsid w:val="4279F42E"/>
    <w:rsid w:val="42AB70FD"/>
    <w:rsid w:val="42DCD2E0"/>
    <w:rsid w:val="43555298"/>
    <w:rsid w:val="4398FEA4"/>
    <w:rsid w:val="44160320"/>
    <w:rsid w:val="4447415E"/>
    <w:rsid w:val="4470D305"/>
    <w:rsid w:val="44AEFD9F"/>
    <w:rsid w:val="44EFAB6F"/>
    <w:rsid w:val="4537FA0F"/>
    <w:rsid w:val="45FE1D57"/>
    <w:rsid w:val="46118184"/>
    <w:rsid w:val="46D55DE4"/>
    <w:rsid w:val="478B7FB0"/>
    <w:rsid w:val="4874CBB7"/>
    <w:rsid w:val="48E97443"/>
    <w:rsid w:val="49606C75"/>
    <w:rsid w:val="49918452"/>
    <w:rsid w:val="4BAA45D5"/>
    <w:rsid w:val="4BC36E32"/>
    <w:rsid w:val="4BDD113C"/>
    <w:rsid w:val="4CFA0B57"/>
    <w:rsid w:val="4D024E37"/>
    <w:rsid w:val="4D1BDB3B"/>
    <w:rsid w:val="4D26F248"/>
    <w:rsid w:val="4E64F575"/>
    <w:rsid w:val="4E84F63B"/>
    <w:rsid w:val="4FB1D0DC"/>
    <w:rsid w:val="4FD672D8"/>
    <w:rsid w:val="509DFDD5"/>
    <w:rsid w:val="50A74FE3"/>
    <w:rsid w:val="50C4BB87"/>
    <w:rsid w:val="51122C0B"/>
    <w:rsid w:val="513DC576"/>
    <w:rsid w:val="52386AFB"/>
    <w:rsid w:val="524FA9C9"/>
    <w:rsid w:val="52CA7BE3"/>
    <w:rsid w:val="533733D0"/>
    <w:rsid w:val="537C2E97"/>
    <w:rsid w:val="53DEF0A5"/>
    <w:rsid w:val="545694B6"/>
    <w:rsid w:val="558E69A7"/>
    <w:rsid w:val="55A404D0"/>
    <w:rsid w:val="56362D16"/>
    <w:rsid w:val="567ADCAA"/>
    <w:rsid w:val="56B5FA68"/>
    <w:rsid w:val="56BE55E9"/>
    <w:rsid w:val="57A346EB"/>
    <w:rsid w:val="593BA652"/>
    <w:rsid w:val="59647B6C"/>
    <w:rsid w:val="59D52AC9"/>
    <w:rsid w:val="5A49E9EE"/>
    <w:rsid w:val="5A90A685"/>
    <w:rsid w:val="5AD33B3A"/>
    <w:rsid w:val="5AE89C28"/>
    <w:rsid w:val="5B665BC4"/>
    <w:rsid w:val="5BDB2A89"/>
    <w:rsid w:val="5BE03F28"/>
    <w:rsid w:val="5BE0FC71"/>
    <w:rsid w:val="5C4F07D2"/>
    <w:rsid w:val="5C5C7970"/>
    <w:rsid w:val="5C7CD1CE"/>
    <w:rsid w:val="5D4BC877"/>
    <w:rsid w:val="5E0FD3D0"/>
    <w:rsid w:val="5E1F131E"/>
    <w:rsid w:val="5E9B0890"/>
    <w:rsid w:val="5F0A9422"/>
    <w:rsid w:val="5F91BF79"/>
    <w:rsid w:val="61356C48"/>
    <w:rsid w:val="617D05AB"/>
    <w:rsid w:val="61EEB043"/>
    <w:rsid w:val="620CDCAB"/>
    <w:rsid w:val="62141B49"/>
    <w:rsid w:val="62885C49"/>
    <w:rsid w:val="6290A2A2"/>
    <w:rsid w:val="633D8AF3"/>
    <w:rsid w:val="63848752"/>
    <w:rsid w:val="64BE50AB"/>
    <w:rsid w:val="64D6E7A4"/>
    <w:rsid w:val="6550157D"/>
    <w:rsid w:val="6627B023"/>
    <w:rsid w:val="669CB090"/>
    <w:rsid w:val="66C99EED"/>
    <w:rsid w:val="66DB49C3"/>
    <w:rsid w:val="671C019C"/>
    <w:rsid w:val="67AF4FCE"/>
    <w:rsid w:val="67E57B44"/>
    <w:rsid w:val="67EFDBF6"/>
    <w:rsid w:val="681C6F5C"/>
    <w:rsid w:val="68595E40"/>
    <w:rsid w:val="68687B8A"/>
    <w:rsid w:val="688DB1D0"/>
    <w:rsid w:val="6A6F6FB2"/>
    <w:rsid w:val="6ADE385C"/>
    <w:rsid w:val="6AF5418D"/>
    <w:rsid w:val="6B35B33B"/>
    <w:rsid w:val="6B638EC4"/>
    <w:rsid w:val="6B68C46F"/>
    <w:rsid w:val="6B98B273"/>
    <w:rsid w:val="6BF383DD"/>
    <w:rsid w:val="6C28C9B8"/>
    <w:rsid w:val="6C6B90D3"/>
    <w:rsid w:val="6D22933C"/>
    <w:rsid w:val="6D631B31"/>
    <w:rsid w:val="6E12A6CC"/>
    <w:rsid w:val="6E2A9B26"/>
    <w:rsid w:val="6E9561E3"/>
    <w:rsid w:val="6E9A6C0E"/>
    <w:rsid w:val="6FCDA1D2"/>
    <w:rsid w:val="7025A99D"/>
    <w:rsid w:val="7082EE13"/>
    <w:rsid w:val="70947247"/>
    <w:rsid w:val="70ACCBAB"/>
    <w:rsid w:val="70EB1C07"/>
    <w:rsid w:val="710B8174"/>
    <w:rsid w:val="715CC69F"/>
    <w:rsid w:val="717739C4"/>
    <w:rsid w:val="71ADADFB"/>
    <w:rsid w:val="72D8D297"/>
    <w:rsid w:val="74673C94"/>
    <w:rsid w:val="74BC6DB5"/>
    <w:rsid w:val="7563F926"/>
    <w:rsid w:val="7634185C"/>
    <w:rsid w:val="766541FF"/>
    <w:rsid w:val="7667B928"/>
    <w:rsid w:val="76858D63"/>
    <w:rsid w:val="768A17F8"/>
    <w:rsid w:val="768AFB4C"/>
    <w:rsid w:val="76FC3C99"/>
    <w:rsid w:val="7709BF7E"/>
    <w:rsid w:val="788AAD3D"/>
    <w:rsid w:val="78905FD6"/>
    <w:rsid w:val="790654A1"/>
    <w:rsid w:val="79113684"/>
    <w:rsid w:val="7ADBB5CC"/>
    <w:rsid w:val="7B81CD28"/>
    <w:rsid w:val="7BA24D39"/>
    <w:rsid w:val="7C27F52F"/>
    <w:rsid w:val="7C528880"/>
    <w:rsid w:val="7E92EFA7"/>
    <w:rsid w:val="7EA0A7BE"/>
    <w:rsid w:val="7EBB7109"/>
    <w:rsid w:val="7EBF683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DBE553"/>
  <w15:docId w15:val="{A97D1041-2305-40B1-99B5-260F7FDFF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SimSun"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0CE0"/>
    <w:pPr>
      <w:spacing w:line="360" w:lineRule="auto"/>
      <w:jc w:val="both"/>
    </w:pPr>
    <w:rPr>
      <w:rFonts w:ascii="Times New Roman" w:eastAsia="Times New Roman" w:hAnsi="Times New Roman"/>
      <w:szCs w:val="24"/>
      <w:lang w:eastAsia="de-DE"/>
    </w:rPr>
  </w:style>
  <w:style w:type="paragraph" w:styleId="Heading1">
    <w:name w:val="heading 1"/>
    <w:basedOn w:val="Normal"/>
    <w:next w:val="Normal"/>
    <w:link w:val="Heading1Char"/>
    <w:qFormat/>
    <w:rsid w:val="00075F28"/>
    <w:pPr>
      <w:keepNext/>
      <w:spacing w:before="480" w:after="240" w:line="240" w:lineRule="auto"/>
      <w:outlineLvl w:val="0"/>
    </w:pPr>
    <w:rPr>
      <w:rFonts w:cs="Arial"/>
      <w:b/>
      <w:bCs/>
      <w:color w:val="000000"/>
      <w:kern w:val="32"/>
      <w:szCs w:val="32"/>
    </w:rPr>
  </w:style>
  <w:style w:type="paragraph" w:styleId="Heading2">
    <w:name w:val="heading 2"/>
    <w:basedOn w:val="Normal"/>
    <w:next w:val="Normal"/>
    <w:link w:val="Heading2Char"/>
    <w:qFormat/>
    <w:rsid w:val="00E00339"/>
    <w:pPr>
      <w:keepNext/>
      <w:spacing w:before="240" w:after="240" w:line="240" w:lineRule="auto"/>
      <w:outlineLvl w:val="1"/>
    </w:pPr>
    <w:rPr>
      <w:rFonts w:cs="Arial"/>
      <w:b/>
      <w:bCs/>
      <w:iCs/>
      <w:szCs w:val="28"/>
    </w:rPr>
  </w:style>
  <w:style w:type="paragraph" w:styleId="Heading3">
    <w:name w:val="heading 3"/>
    <w:basedOn w:val="Normal"/>
    <w:next w:val="Normal"/>
    <w:link w:val="Heading3Char"/>
    <w:qFormat/>
    <w:rsid w:val="005A4F32"/>
    <w:pPr>
      <w:keepNext/>
      <w:spacing w:before="240" w:after="240" w:line="240" w:lineRule="auto"/>
      <w:outlineLvl w:val="2"/>
    </w:pPr>
    <w:rPr>
      <w:rFonts w:cs="Arial"/>
      <w:b/>
      <w:bCs/>
      <w:szCs w:val="26"/>
    </w:rPr>
  </w:style>
  <w:style w:type="paragraph" w:styleId="Heading4">
    <w:name w:val="heading 4"/>
    <w:basedOn w:val="Normal"/>
    <w:next w:val="Normal"/>
    <w:link w:val="Heading4Char"/>
    <w:rsid w:val="00ED6B96"/>
    <w:pPr>
      <w:keepNext/>
      <w:outlineLvl w:val="3"/>
    </w:pPr>
    <w:rPr>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etreff">
    <w:name w:val="Betreff"/>
    <w:basedOn w:val="Normal"/>
    <w:next w:val="Normal"/>
    <w:rsid w:val="00ED6B96"/>
    <w:rPr>
      <w:b/>
    </w:rPr>
  </w:style>
  <w:style w:type="paragraph" w:customStyle="1" w:styleId="Bullets">
    <w:name w:val="Bullets"/>
    <w:basedOn w:val="Normal"/>
    <w:link w:val="BulletsChar"/>
    <w:rsid w:val="00ED6B96"/>
    <w:pPr>
      <w:numPr>
        <w:numId w:val="2"/>
      </w:numPr>
    </w:pPr>
  </w:style>
  <w:style w:type="character" w:customStyle="1" w:styleId="BulletsChar">
    <w:name w:val="Bullets Char"/>
    <w:link w:val="Bullets"/>
    <w:rsid w:val="00ED6B96"/>
    <w:rPr>
      <w:rFonts w:ascii="Verdana" w:eastAsia="Times New Roman" w:hAnsi="Verdana" w:cs="Times New Roman"/>
      <w:sz w:val="19"/>
      <w:szCs w:val="24"/>
      <w:lang w:eastAsia="de-DE"/>
    </w:rPr>
  </w:style>
  <w:style w:type="table" w:customStyle="1" w:styleId="Copernicus">
    <w:name w:val="Copernicus"/>
    <w:basedOn w:val="TableNormal"/>
    <w:rsid w:val="00ED6B96"/>
    <w:rPr>
      <w:rFonts w:ascii="Verdana" w:eastAsia="Times New Roman" w:hAnsi="Verdana"/>
      <w:sz w:val="19"/>
    </w:rPr>
    <w:tblPr>
      <w:tblStyleRowBandSize w:val="1"/>
      <w:tblStyleColBandSize w:val="1"/>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Pr>
    <w:tcPr>
      <w:shd w:val="clear" w:color="auto" w:fill="auto"/>
      <w:vAlign w:val="center"/>
    </w:tcPr>
    <w:tblStylePr w:type="firstRow">
      <w:pPr>
        <w:jc w:val="left"/>
      </w:pPr>
      <w:rPr>
        <w:rFonts w:ascii="Verdana" w:hAnsi="Verdana"/>
        <w:b/>
        <w:i w:val="0"/>
        <w:sz w:val="19"/>
      </w:rPr>
      <w:tblPr/>
      <w:tcPr>
        <w:shd w:val="clear" w:color="auto" w:fill="BFBFBF"/>
      </w:tcPr>
    </w:tblStylePr>
    <w:tblStylePr w:type="lastRow">
      <w:pPr>
        <w:jc w:val="left"/>
      </w:pPr>
      <w:rPr>
        <w:rFonts w:ascii="Verdana" w:hAnsi="Verdana"/>
        <w:sz w:val="19"/>
      </w:rPr>
    </w:tblStylePr>
    <w:tblStylePr w:type="firstCol">
      <w:rPr>
        <w:rFonts w:ascii="Verdana" w:hAnsi="Verdana"/>
        <w:sz w:val="19"/>
      </w:rPr>
    </w:tblStylePr>
    <w:tblStylePr w:type="lastCol">
      <w:rPr>
        <w:rFonts w:ascii="Verdana" w:hAnsi="Verdana"/>
        <w:sz w:val="19"/>
      </w:rPr>
      <w:tblPr/>
      <w:tcPr>
        <w:tcBorders>
          <w:top w:val="single" w:sz="4" w:space="0" w:color="7F7F7F"/>
          <w:left w:val="single" w:sz="4" w:space="0" w:color="7F7F7F"/>
          <w:bottom w:val="single" w:sz="4" w:space="0" w:color="7F7F7F"/>
          <w:right w:val="single" w:sz="4" w:space="0" w:color="7F7F7F"/>
          <w:insideH w:val="single" w:sz="4" w:space="0" w:color="7F7F7F"/>
          <w:insideV w:val="single" w:sz="4" w:space="0" w:color="7F7F7F"/>
        </w:tcBorders>
      </w:tcPr>
    </w:tblStylePr>
  </w:style>
  <w:style w:type="paragraph" w:styleId="Header">
    <w:name w:val="header"/>
    <w:basedOn w:val="Normal"/>
    <w:link w:val="HeaderChar"/>
    <w:rsid w:val="00ED6B96"/>
    <w:pPr>
      <w:tabs>
        <w:tab w:val="center" w:pos="4536"/>
        <w:tab w:val="right" w:pos="9072"/>
      </w:tabs>
    </w:pPr>
  </w:style>
  <w:style w:type="character" w:customStyle="1" w:styleId="Heading1Char">
    <w:name w:val="Heading 1 Char"/>
    <w:link w:val="Heading1"/>
    <w:rsid w:val="00075F28"/>
    <w:rPr>
      <w:rFonts w:ascii="Times New Roman" w:eastAsia="Times New Roman" w:hAnsi="Times New Roman" w:cs="Arial"/>
      <w:b/>
      <w:bCs/>
      <w:color w:val="000000"/>
      <w:kern w:val="32"/>
      <w:szCs w:val="32"/>
      <w:lang w:eastAsia="de-DE"/>
    </w:rPr>
  </w:style>
  <w:style w:type="character" w:customStyle="1" w:styleId="Heading3Char">
    <w:name w:val="Heading 3 Char"/>
    <w:link w:val="Heading3"/>
    <w:rsid w:val="005A4F32"/>
    <w:rPr>
      <w:rFonts w:ascii="Times New Roman" w:eastAsia="Times New Roman" w:hAnsi="Times New Roman" w:cs="Arial"/>
      <w:b/>
      <w:bCs/>
      <w:szCs w:val="26"/>
      <w:lang w:eastAsia="de-DE"/>
    </w:rPr>
  </w:style>
  <w:style w:type="character" w:customStyle="1" w:styleId="Heading4Char">
    <w:name w:val="Heading 4 Char"/>
    <w:link w:val="Heading4"/>
    <w:rsid w:val="00796A7F"/>
    <w:rPr>
      <w:rFonts w:ascii="Verdana" w:eastAsia="Times New Roman" w:hAnsi="Verdana" w:cs="Times New Roman"/>
      <w:b/>
      <w:bCs/>
      <w:sz w:val="19"/>
      <w:szCs w:val="28"/>
      <w:lang w:eastAsia="de-DE"/>
    </w:rPr>
  </w:style>
  <w:style w:type="character" w:customStyle="1" w:styleId="HeaderChar">
    <w:name w:val="Header Char"/>
    <w:link w:val="Header"/>
    <w:rsid w:val="00ED6B96"/>
    <w:rPr>
      <w:rFonts w:ascii="Verdana" w:eastAsia="Times New Roman" w:hAnsi="Verdana" w:cs="Times New Roman"/>
      <w:sz w:val="19"/>
      <w:szCs w:val="24"/>
      <w:lang w:eastAsia="de-DE"/>
    </w:rPr>
  </w:style>
  <w:style w:type="character" w:customStyle="1" w:styleId="Heading2Char">
    <w:name w:val="Heading 2 Char"/>
    <w:link w:val="Heading2"/>
    <w:rsid w:val="00E00339"/>
    <w:rPr>
      <w:rFonts w:ascii="Times New Roman" w:eastAsia="Times New Roman" w:hAnsi="Times New Roman" w:cs="Arial"/>
      <w:b/>
      <w:bCs/>
      <w:iCs/>
      <w:szCs w:val="28"/>
      <w:lang w:eastAsia="de-DE"/>
    </w:rPr>
  </w:style>
  <w:style w:type="character" w:styleId="Hyperlink">
    <w:name w:val="Hyperlink"/>
    <w:rsid w:val="00ED6B96"/>
    <w:rPr>
      <w:color w:val="0000FF"/>
      <w:u w:val="single"/>
    </w:rPr>
  </w:style>
  <w:style w:type="paragraph" w:customStyle="1" w:styleId="Kontakt">
    <w:name w:val="Kontakt"/>
    <w:basedOn w:val="Normal"/>
    <w:rsid w:val="00ED6B96"/>
    <w:pPr>
      <w:spacing w:line="160" w:lineRule="exact"/>
    </w:pPr>
    <w:rPr>
      <w:color w:val="808080"/>
      <w:sz w:val="13"/>
    </w:rPr>
  </w:style>
  <w:style w:type="paragraph" w:customStyle="1" w:styleId="Name">
    <w:name w:val="Name"/>
    <w:basedOn w:val="Normal"/>
    <w:rsid w:val="00ED6B96"/>
    <w:pPr>
      <w:spacing w:before="160" w:after="80"/>
    </w:pPr>
    <w:rPr>
      <w:rFonts w:ascii="Book Antiqua" w:hAnsi="Book Antiqua"/>
      <w:color w:val="808080"/>
      <w:sz w:val="22"/>
    </w:rPr>
  </w:style>
  <w:style w:type="paragraph" w:customStyle="1" w:styleId="CopernicusWordtemplate">
    <w:name w:val="Copernicus_Word_template"/>
    <w:basedOn w:val="Normal"/>
    <w:link w:val="CopernicusWordtemplateChar"/>
    <w:rsid w:val="00B5719D"/>
  </w:style>
  <w:style w:type="character" w:customStyle="1" w:styleId="CopernicusWordtemplateChar">
    <w:name w:val="Copernicus_Word_template Char"/>
    <w:basedOn w:val="DefaultParagraphFont"/>
    <w:link w:val="CopernicusWordtemplate"/>
    <w:rsid w:val="00B5719D"/>
    <w:rPr>
      <w:rFonts w:ascii="Times New Roman" w:eastAsia="Times New Roman" w:hAnsi="Times New Roman"/>
      <w:sz w:val="24"/>
      <w:szCs w:val="24"/>
      <w:lang w:eastAsia="de-DE"/>
    </w:rPr>
  </w:style>
  <w:style w:type="character" w:styleId="LineNumber">
    <w:name w:val="line number"/>
    <w:basedOn w:val="DefaultParagraphFont"/>
    <w:uiPriority w:val="99"/>
    <w:semiHidden/>
    <w:unhideWhenUsed/>
    <w:rsid w:val="00D40CE0"/>
  </w:style>
  <w:style w:type="paragraph" w:customStyle="1" w:styleId="MStitle">
    <w:name w:val="MS title"/>
    <w:basedOn w:val="Normal"/>
    <w:link w:val="MStitleChar"/>
    <w:qFormat/>
    <w:rsid w:val="0091791F"/>
    <w:pPr>
      <w:spacing w:before="360" w:line="440" w:lineRule="exact"/>
      <w:contextualSpacing/>
    </w:pPr>
    <w:rPr>
      <w:b/>
      <w:sz w:val="34"/>
    </w:rPr>
  </w:style>
  <w:style w:type="paragraph" w:styleId="ListParagraph">
    <w:name w:val="List Paragraph"/>
    <w:basedOn w:val="Normal"/>
    <w:uiPriority w:val="34"/>
    <w:rsid w:val="00B4015F"/>
    <w:pPr>
      <w:ind w:left="720"/>
      <w:contextualSpacing/>
    </w:pPr>
  </w:style>
  <w:style w:type="character" w:customStyle="1" w:styleId="MStitleChar">
    <w:name w:val="MS title Char"/>
    <w:basedOn w:val="DefaultParagraphFont"/>
    <w:link w:val="MStitle"/>
    <w:rsid w:val="0091791F"/>
    <w:rPr>
      <w:rFonts w:ascii="Times New Roman" w:eastAsia="Times New Roman" w:hAnsi="Times New Roman"/>
      <w:b/>
      <w:sz w:val="34"/>
      <w:szCs w:val="24"/>
      <w:lang w:eastAsia="de-DE"/>
    </w:rPr>
  </w:style>
  <w:style w:type="paragraph" w:customStyle="1" w:styleId="Affiliation">
    <w:name w:val="Affiliation"/>
    <w:basedOn w:val="Normal"/>
    <w:link w:val="AffiliationChar"/>
    <w:qFormat/>
    <w:rsid w:val="00450DB9"/>
    <w:pPr>
      <w:spacing w:before="120" w:line="240" w:lineRule="auto"/>
      <w:contextualSpacing/>
    </w:pPr>
  </w:style>
  <w:style w:type="character" w:styleId="PlaceholderText">
    <w:name w:val="Placeholder Text"/>
    <w:basedOn w:val="DefaultParagraphFont"/>
    <w:uiPriority w:val="99"/>
    <w:semiHidden/>
    <w:rsid w:val="003D5288"/>
    <w:rPr>
      <w:color w:val="808080"/>
    </w:rPr>
  </w:style>
  <w:style w:type="character" w:customStyle="1" w:styleId="AffiliationChar">
    <w:name w:val="Affiliation Char"/>
    <w:basedOn w:val="DefaultParagraphFont"/>
    <w:link w:val="Affiliation"/>
    <w:rsid w:val="00450DB9"/>
    <w:rPr>
      <w:rFonts w:ascii="Times New Roman" w:eastAsia="Times New Roman" w:hAnsi="Times New Roman"/>
      <w:szCs w:val="24"/>
      <w:lang w:eastAsia="de-DE"/>
    </w:rPr>
  </w:style>
  <w:style w:type="paragraph" w:styleId="BalloonText">
    <w:name w:val="Balloon Text"/>
    <w:basedOn w:val="Normal"/>
    <w:link w:val="BalloonTextChar"/>
    <w:uiPriority w:val="99"/>
    <w:semiHidden/>
    <w:unhideWhenUsed/>
    <w:rsid w:val="003D528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D5288"/>
    <w:rPr>
      <w:rFonts w:ascii="Tahoma" w:eastAsia="Times New Roman" w:hAnsi="Tahoma" w:cs="Tahoma"/>
      <w:sz w:val="16"/>
      <w:szCs w:val="16"/>
      <w:lang w:eastAsia="de-DE"/>
    </w:rPr>
  </w:style>
  <w:style w:type="paragraph" w:customStyle="1" w:styleId="Equation">
    <w:name w:val="Equation"/>
    <w:basedOn w:val="Normal"/>
    <w:link w:val="EquationChar"/>
    <w:rsid w:val="00C35812"/>
    <w:pPr>
      <w:spacing w:before="120" w:after="120"/>
    </w:pPr>
    <w:rPr>
      <w:rFonts w:ascii="Cambria Math" w:hAnsi="Cambria Math"/>
    </w:rPr>
  </w:style>
  <w:style w:type="paragraph" w:styleId="Caption">
    <w:name w:val="caption"/>
    <w:basedOn w:val="Normal"/>
    <w:next w:val="Normal"/>
    <w:uiPriority w:val="35"/>
    <w:unhideWhenUsed/>
    <w:qFormat/>
    <w:rsid w:val="003A4FB4"/>
    <w:pPr>
      <w:spacing w:after="200" w:line="240" w:lineRule="auto"/>
    </w:pPr>
    <w:rPr>
      <w:b/>
      <w:bCs/>
      <w:sz w:val="18"/>
      <w:szCs w:val="18"/>
    </w:rPr>
  </w:style>
  <w:style w:type="character" w:customStyle="1" w:styleId="EquationChar">
    <w:name w:val="Equation Char"/>
    <w:basedOn w:val="DefaultParagraphFont"/>
    <w:link w:val="Equation"/>
    <w:rsid w:val="00C35812"/>
    <w:rPr>
      <w:rFonts w:ascii="Cambria Math" w:eastAsia="Times New Roman" w:hAnsi="Cambria Math"/>
      <w:szCs w:val="24"/>
      <w:lang w:eastAsia="de-DE"/>
    </w:rPr>
  </w:style>
  <w:style w:type="paragraph" w:styleId="Footer">
    <w:name w:val="footer"/>
    <w:basedOn w:val="Normal"/>
    <w:link w:val="FooterChar"/>
    <w:uiPriority w:val="99"/>
    <w:unhideWhenUsed/>
    <w:rsid w:val="006D0C96"/>
    <w:pPr>
      <w:tabs>
        <w:tab w:val="center" w:pos="4513"/>
        <w:tab w:val="right" w:pos="9026"/>
      </w:tabs>
      <w:spacing w:line="240" w:lineRule="auto"/>
    </w:pPr>
  </w:style>
  <w:style w:type="character" w:customStyle="1" w:styleId="FooterChar">
    <w:name w:val="Footer Char"/>
    <w:basedOn w:val="DefaultParagraphFont"/>
    <w:link w:val="Footer"/>
    <w:uiPriority w:val="99"/>
    <w:rsid w:val="006D0C96"/>
    <w:rPr>
      <w:rFonts w:ascii="Times New Roman" w:eastAsia="Times New Roman" w:hAnsi="Times New Roman"/>
      <w:szCs w:val="24"/>
      <w:lang w:eastAsia="de-DE"/>
    </w:rPr>
  </w:style>
  <w:style w:type="paragraph" w:customStyle="1" w:styleId="Correspondence">
    <w:name w:val="Correspondence"/>
    <w:basedOn w:val="Normal"/>
    <w:link w:val="CorrespondenceChar"/>
    <w:qFormat/>
    <w:rsid w:val="008E213F"/>
    <w:pPr>
      <w:spacing w:before="120" w:after="360" w:line="240" w:lineRule="auto"/>
    </w:pPr>
  </w:style>
  <w:style w:type="character" w:customStyle="1" w:styleId="CorrespondenceChar">
    <w:name w:val="Correspondence Char"/>
    <w:basedOn w:val="DefaultParagraphFont"/>
    <w:link w:val="Correspondence"/>
    <w:rsid w:val="008E213F"/>
    <w:rPr>
      <w:rFonts w:ascii="Times New Roman" w:eastAsia="Times New Roman" w:hAnsi="Times New Roman"/>
      <w:szCs w:val="24"/>
      <w:lang w:eastAsia="de-DE"/>
    </w:rPr>
  </w:style>
  <w:style w:type="paragraph" w:customStyle="1" w:styleId="Authors">
    <w:name w:val="Authors"/>
    <w:basedOn w:val="Normal"/>
    <w:link w:val="AuthorsChar"/>
    <w:qFormat/>
    <w:rsid w:val="00BD0523"/>
    <w:pPr>
      <w:spacing w:before="180" w:line="240" w:lineRule="auto"/>
      <w:contextualSpacing/>
    </w:pPr>
    <w:rPr>
      <w:sz w:val="24"/>
    </w:rPr>
  </w:style>
  <w:style w:type="character" w:customStyle="1" w:styleId="AuthorsChar">
    <w:name w:val="Authors Char"/>
    <w:basedOn w:val="DefaultParagraphFont"/>
    <w:link w:val="Authors"/>
    <w:rsid w:val="00BD0523"/>
    <w:rPr>
      <w:rFonts w:ascii="Times New Roman" w:eastAsia="Times New Roman" w:hAnsi="Times New Roman"/>
      <w:sz w:val="24"/>
      <w:szCs w:val="24"/>
      <w:lang w:eastAsia="de-DE"/>
    </w:rPr>
  </w:style>
  <w:style w:type="character" w:styleId="CommentReference">
    <w:name w:val="annotation reference"/>
    <w:basedOn w:val="DefaultParagraphFont"/>
    <w:uiPriority w:val="99"/>
    <w:semiHidden/>
    <w:unhideWhenUsed/>
    <w:rsid w:val="00ED2B41"/>
    <w:rPr>
      <w:sz w:val="16"/>
      <w:szCs w:val="16"/>
    </w:rPr>
  </w:style>
  <w:style w:type="paragraph" w:styleId="CommentText">
    <w:name w:val="annotation text"/>
    <w:basedOn w:val="Normal"/>
    <w:link w:val="CommentTextChar"/>
    <w:uiPriority w:val="99"/>
    <w:semiHidden/>
    <w:unhideWhenUsed/>
    <w:rsid w:val="00ED2B41"/>
    <w:pPr>
      <w:spacing w:line="240" w:lineRule="auto"/>
    </w:pPr>
    <w:rPr>
      <w:szCs w:val="20"/>
    </w:rPr>
  </w:style>
  <w:style w:type="character" w:customStyle="1" w:styleId="CommentTextChar">
    <w:name w:val="Comment Text Char"/>
    <w:basedOn w:val="DefaultParagraphFont"/>
    <w:link w:val="CommentText"/>
    <w:uiPriority w:val="99"/>
    <w:semiHidden/>
    <w:rsid w:val="00ED2B41"/>
    <w:rPr>
      <w:rFonts w:ascii="Times New Roman" w:eastAsia="Times New Roman" w:hAnsi="Times New Roman"/>
      <w:lang w:eastAsia="de-DE"/>
    </w:rPr>
  </w:style>
  <w:style w:type="paragraph" w:styleId="CommentSubject">
    <w:name w:val="annotation subject"/>
    <w:basedOn w:val="CommentText"/>
    <w:next w:val="CommentText"/>
    <w:link w:val="CommentSubjectChar"/>
    <w:uiPriority w:val="99"/>
    <w:semiHidden/>
    <w:unhideWhenUsed/>
    <w:rsid w:val="00ED2B41"/>
    <w:rPr>
      <w:b/>
      <w:bCs/>
    </w:rPr>
  </w:style>
  <w:style w:type="character" w:customStyle="1" w:styleId="CommentSubjectChar">
    <w:name w:val="Comment Subject Char"/>
    <w:basedOn w:val="CommentTextChar"/>
    <w:link w:val="CommentSubject"/>
    <w:uiPriority w:val="99"/>
    <w:semiHidden/>
    <w:rsid w:val="00ED2B41"/>
    <w:rPr>
      <w:rFonts w:ascii="Times New Roman" w:eastAsia="Times New Roman" w:hAnsi="Times New Roman"/>
      <w:b/>
      <w:bCs/>
      <w:lang w:eastAsia="de-DE"/>
    </w:rPr>
  </w:style>
  <w:style w:type="table" w:styleId="TableGrid">
    <w:name w:val="Table Grid"/>
    <w:basedOn w:val="TableNormal"/>
    <w:uiPriority w:val="59"/>
    <w:rsid w:val="00DF21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0464C4"/>
    <w:rPr>
      <w:color w:val="605E5C"/>
      <w:shd w:val="clear" w:color="auto" w:fill="E1DFDD"/>
    </w:rPr>
  </w:style>
  <w:style w:type="paragraph" w:styleId="FootnoteText">
    <w:name w:val="footnote text"/>
    <w:basedOn w:val="Normal"/>
    <w:link w:val="FootnoteTextChar"/>
    <w:uiPriority w:val="99"/>
    <w:semiHidden/>
    <w:unhideWhenUsed/>
    <w:rsid w:val="006F3405"/>
    <w:pPr>
      <w:spacing w:line="240" w:lineRule="auto"/>
    </w:pPr>
    <w:rPr>
      <w:szCs w:val="20"/>
    </w:rPr>
  </w:style>
  <w:style w:type="character" w:customStyle="1" w:styleId="FootnoteTextChar">
    <w:name w:val="Footnote Text Char"/>
    <w:basedOn w:val="DefaultParagraphFont"/>
    <w:link w:val="FootnoteText"/>
    <w:uiPriority w:val="99"/>
    <w:semiHidden/>
    <w:rsid w:val="006F3405"/>
    <w:rPr>
      <w:rFonts w:ascii="Times New Roman" w:eastAsia="Times New Roman" w:hAnsi="Times New Roman"/>
      <w:lang w:eastAsia="de-DE"/>
    </w:rPr>
  </w:style>
  <w:style w:type="character" w:styleId="FootnoteReference">
    <w:name w:val="footnote reference"/>
    <w:basedOn w:val="DefaultParagraphFont"/>
    <w:uiPriority w:val="99"/>
    <w:semiHidden/>
    <w:unhideWhenUsed/>
    <w:rsid w:val="006F3405"/>
    <w:rPr>
      <w:vertAlign w:val="superscript"/>
    </w:rPr>
  </w:style>
  <w:style w:type="character" w:customStyle="1" w:styleId="Mention1">
    <w:name w:val="Mention1"/>
    <w:basedOn w:val="DefaultParagraphFont"/>
    <w:uiPriority w:val="99"/>
    <w:unhideWhenUsed/>
    <w:rPr>
      <w:color w:val="2B579A"/>
      <w:shd w:val="clear" w:color="auto" w:fill="E6E6E6"/>
    </w:rPr>
  </w:style>
  <w:style w:type="character" w:styleId="FollowedHyperlink">
    <w:name w:val="FollowedHyperlink"/>
    <w:basedOn w:val="DefaultParagraphFont"/>
    <w:uiPriority w:val="99"/>
    <w:semiHidden/>
    <w:unhideWhenUsed/>
    <w:rsid w:val="00EB7F96"/>
    <w:rPr>
      <w:color w:val="800080" w:themeColor="followedHyperlink"/>
      <w:u w:val="single"/>
    </w:rPr>
  </w:style>
  <w:style w:type="paragraph" w:styleId="Revision">
    <w:name w:val="Revision"/>
    <w:hidden/>
    <w:uiPriority w:val="99"/>
    <w:semiHidden/>
    <w:rsid w:val="00B83F9C"/>
    <w:rPr>
      <w:rFonts w:ascii="Times New Roman" w:eastAsia="Times New Roman" w:hAnsi="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sv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CopernicusTemplates\Free-Forms\Blan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pernicus_Word_template">
      <a:majorFont>
        <a:latin typeface="Times New Roman"/>
        <a:ea typeface=""/>
        <a:cs typeface=""/>
      </a:majorFont>
      <a:minorFont>
        <a:latin typeface="Times New Roman"/>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9A5279706066241A7092468D6BB044E" ma:contentTypeVersion="16" ma:contentTypeDescription="Create a new document." ma:contentTypeScope="" ma:versionID="426d69115a04e95aa58323ccac53958f">
  <xsd:schema xmlns:xsd="http://www.w3.org/2001/XMLSchema" xmlns:xs="http://www.w3.org/2001/XMLSchema" xmlns:p="http://schemas.microsoft.com/office/2006/metadata/properties" xmlns:ns2="1b35f370-74fc-4b5c-9cf4-ac0f317b4524" xmlns:ns3="fc12a091-1fa7-42ea-95c2-d473238706b1" xmlns:ns4="53df6a5f-9334-4503-a845-5e05459a4c71" targetNamespace="http://schemas.microsoft.com/office/2006/metadata/properties" ma:root="true" ma:fieldsID="851b552fd1c4c1dd1fdc855052ffed4c" ns2:_="" ns3:_="" ns4:_="">
    <xsd:import namespace="1b35f370-74fc-4b5c-9cf4-ac0f317b4524"/>
    <xsd:import namespace="fc12a091-1fa7-42ea-95c2-d473238706b1"/>
    <xsd:import namespace="53df6a5f-9334-4503-a845-5e05459a4c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35f370-74fc-4b5c-9cf4-ac0f317b45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eb077af7-eccc-41ba-8726-6d08c81cb05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fc12a091-1fa7-42ea-95c2-d473238706b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3df6a5f-9334-4503-a845-5e05459a4c71"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bbcb8cad-94b9-45d6-948c-9c5d1b32ab75}" ma:internalName="TaxCatchAll" ma:showField="CatchAllData" ma:web="fc12a091-1fa7-42ea-95c2-d473238706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3df6a5f-9334-4503-a845-5e05459a4c71" xsi:nil="true"/>
    <lcf76f155ced4ddcb4097134ff3c332f xmlns="1b35f370-74fc-4b5c-9cf4-ac0f317b4524">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DF7376-A7E2-410F-8A52-6C9400E191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35f370-74fc-4b5c-9cf4-ac0f317b4524"/>
    <ds:schemaRef ds:uri="fc12a091-1fa7-42ea-95c2-d473238706b1"/>
    <ds:schemaRef ds:uri="53df6a5f-9334-4503-a845-5e05459a4c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3B9A7D-69BE-4B39-A053-E43605E6228A}">
  <ds:schemaRefs>
    <ds:schemaRef ds:uri="http://schemas.microsoft.com/sharepoint/v3/contenttype/forms"/>
  </ds:schemaRefs>
</ds:datastoreItem>
</file>

<file path=customXml/itemProps3.xml><?xml version="1.0" encoding="utf-8"?>
<ds:datastoreItem xmlns:ds="http://schemas.openxmlformats.org/officeDocument/2006/customXml" ds:itemID="{26B8ED90-59BB-4A52-A28D-185A8C50C74E}">
  <ds:schemaRefs>
    <ds:schemaRef ds:uri="http://schemas.microsoft.com/office/2006/metadata/properties"/>
    <ds:schemaRef ds:uri="http://schemas.microsoft.com/office/infopath/2007/PartnerControls"/>
    <ds:schemaRef ds:uri="53df6a5f-9334-4503-a845-5e05459a4c71"/>
    <ds:schemaRef ds:uri="1b35f370-74fc-4b5c-9cf4-ac0f317b4524"/>
  </ds:schemaRefs>
</ds:datastoreItem>
</file>

<file path=customXml/itemProps4.xml><?xml version="1.0" encoding="utf-8"?>
<ds:datastoreItem xmlns:ds="http://schemas.openxmlformats.org/officeDocument/2006/customXml" ds:itemID="{54907BDD-E820-49F2-A06F-674B72E59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Blank.dotm</Template>
  <TotalTime>424</TotalTime>
  <Pages>1</Pages>
  <Words>624</Words>
  <Characters>3562</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Blank</vt:lpstr>
    </vt:vector>
  </TitlesOfParts>
  <Company>Copernicus Gesellschaft mbH</Company>
  <LinksUpToDate>false</LinksUpToDate>
  <CharactersWithSpaces>4178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Blank</dc:title>
  <dc:subject/>
  <dc:creator>Martin Rasmussen</dc:creator>
  <cp:keywords/>
  <dc:description/>
  <cp:lastModifiedBy>Nienhuis, J.H. (Jaap)</cp:lastModifiedBy>
  <cp:revision>2</cp:revision>
  <cp:lastPrinted>2016-02-02T01:21:00Z</cp:lastPrinted>
  <dcterms:created xsi:type="dcterms:W3CDTF">2021-03-21T13:32:00Z</dcterms:created>
  <dcterms:modified xsi:type="dcterms:W3CDTF">2022-08-10T07:02:00Z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7th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 6th edition</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http://www.zotero.org/styles/copernicus-publications</vt:lpwstr>
  </property>
  <property fmtid="{D5CDD505-2E9C-101B-9397-08002B2CF9AE}" pid="13" name="Mendeley Recent Style Name 5_1">
    <vt:lpwstr>Copernicus Publications</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9631dfae-b9b6-3304-8e22-c0f14f88fc76</vt:lpwstr>
  </property>
  <property fmtid="{D5CDD505-2E9C-101B-9397-08002B2CF9AE}" pid="24" name="Mendeley Citation Style_1">
    <vt:lpwstr>http://www.zotero.org/styles/copernicus-publications</vt:lpwstr>
  </property>
  <property fmtid="{D5CDD505-2E9C-101B-9397-08002B2CF9AE}" pid="25" name="ContentTypeId">
    <vt:lpwstr>0x01010019A5279706066241A7092468D6BB044E</vt:lpwstr>
  </property>
  <property fmtid="{D5CDD505-2E9C-101B-9397-08002B2CF9AE}" pid="26" name="TaxCatchAll">
    <vt:lpwstr/>
  </property>
  <property fmtid="{D5CDD505-2E9C-101B-9397-08002B2CF9AE}" pid="27" name="lcf76f155ced4ddcb4097134ff3c332f">
    <vt:lpwstr/>
  </property>
  <property fmtid="{D5CDD505-2E9C-101B-9397-08002B2CF9AE}" pid="28" name="MediaServiceImageTags">
    <vt:lpwstr/>
  </property>
</Properties>
</file>